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265F2" w14:textId="40442699" w:rsidR="0044466E" w:rsidRPr="00390189" w:rsidRDefault="00B23E95" w:rsidP="0044466E">
      <w:pPr>
        <w:contextualSpacing/>
        <w:jc w:val="center"/>
        <w:rPr>
          <w:rFonts w:ascii="Book Antiqua" w:hAnsi="Book Antiqua" w:cs="Arial Hebrew"/>
        </w:rPr>
      </w:pPr>
      <w:r>
        <w:rPr>
          <w:rFonts w:ascii="Book Antiqua" w:hAnsi="Book Antiqua" w:cs="Arial Hebrew"/>
          <w:b/>
          <w:bCs/>
          <w:u w:val="single"/>
        </w:rPr>
        <w:t>Holdrege</w:t>
      </w:r>
      <w:r w:rsidR="0044466E" w:rsidRPr="00390189">
        <w:rPr>
          <w:rFonts w:ascii="Book Antiqua" w:hAnsi="Book Antiqua" w:cs="Arial Hebrew"/>
          <w:b/>
          <w:bCs/>
          <w:u w:val="single"/>
        </w:rPr>
        <w:t xml:space="preserve"> </w:t>
      </w:r>
      <w:r w:rsidR="00A05F19" w:rsidRPr="00390189">
        <w:rPr>
          <w:rFonts w:ascii="Book Antiqua" w:hAnsi="Book Antiqua" w:cs="Arial Hebrew"/>
          <w:b/>
          <w:bCs/>
          <w:u w:val="single"/>
        </w:rPr>
        <w:t>Urban Area – COVID</w:t>
      </w:r>
      <w:r w:rsidR="00390189">
        <w:rPr>
          <w:rFonts w:ascii="Book Antiqua" w:hAnsi="Book Antiqua" w:cs="Arial Hebrew"/>
          <w:b/>
          <w:bCs/>
          <w:u w:val="single"/>
        </w:rPr>
        <w:t>-19</w:t>
      </w:r>
      <w:r w:rsidR="00A05F19" w:rsidRPr="00390189">
        <w:rPr>
          <w:rFonts w:ascii="Book Antiqua" w:hAnsi="Book Antiqua" w:cs="Arial Hebrew"/>
          <w:b/>
          <w:bCs/>
          <w:u w:val="single"/>
        </w:rPr>
        <w:t xml:space="preserve"> Status Report </w:t>
      </w:r>
      <w:r w:rsidR="00B85815">
        <w:rPr>
          <w:rFonts w:ascii="Book Antiqua" w:hAnsi="Book Antiqua" w:cs="Arial Hebrew"/>
          <w:b/>
          <w:bCs/>
          <w:u w:val="single"/>
        </w:rPr>
        <w:t>2</w:t>
      </w:r>
      <w:r w:rsidR="008046DC">
        <w:rPr>
          <w:rFonts w:ascii="Book Antiqua" w:hAnsi="Book Antiqua" w:cs="Arial Hebrew"/>
          <w:b/>
          <w:bCs/>
          <w:u w:val="single"/>
        </w:rPr>
        <w:t>9</w:t>
      </w:r>
      <w:r w:rsidR="00864419">
        <w:rPr>
          <w:rFonts w:ascii="Book Antiqua" w:hAnsi="Book Antiqua" w:cs="Arial Hebrew"/>
          <w:b/>
          <w:bCs/>
          <w:u w:val="single"/>
        </w:rPr>
        <w:t xml:space="preserve"> </w:t>
      </w:r>
      <w:r w:rsidR="00AA702E">
        <w:rPr>
          <w:rFonts w:ascii="Book Antiqua" w:hAnsi="Book Antiqua" w:cs="Arial Hebrew"/>
          <w:b/>
          <w:bCs/>
          <w:u w:val="single"/>
        </w:rPr>
        <w:t>Jan</w:t>
      </w:r>
      <w:r w:rsidR="00976F78">
        <w:rPr>
          <w:rFonts w:ascii="Book Antiqua" w:hAnsi="Book Antiqua" w:cs="Arial Hebrew"/>
          <w:b/>
          <w:bCs/>
          <w:u w:val="single"/>
        </w:rPr>
        <w:t xml:space="preserve"> </w:t>
      </w:r>
      <w:r w:rsidR="00A05F19" w:rsidRPr="00390189">
        <w:rPr>
          <w:rFonts w:ascii="Book Antiqua" w:hAnsi="Book Antiqua" w:cs="Arial Hebrew"/>
          <w:b/>
          <w:bCs/>
          <w:u w:val="single"/>
        </w:rPr>
        <w:t>202</w:t>
      </w:r>
      <w:r w:rsidR="00AA702E">
        <w:rPr>
          <w:rFonts w:ascii="Book Antiqua" w:hAnsi="Book Antiqua" w:cs="Arial Hebrew"/>
          <w:b/>
          <w:bCs/>
          <w:u w:val="single"/>
        </w:rPr>
        <w:t>1</w:t>
      </w:r>
    </w:p>
    <w:p w14:paraId="233DBAAD" w14:textId="77777777" w:rsidR="0044466E" w:rsidRPr="00390189" w:rsidRDefault="0044466E" w:rsidP="0044466E">
      <w:pPr>
        <w:contextualSpacing/>
        <w:jc w:val="center"/>
        <w:rPr>
          <w:rFonts w:ascii="Book Antiqua" w:hAnsi="Book Antiqua" w:cs="Arial Hebrew"/>
          <w:sz w:val="22"/>
          <w:szCs w:val="22"/>
        </w:rPr>
      </w:pPr>
    </w:p>
    <w:p w14:paraId="122F3673" w14:textId="77777777" w:rsidR="0044466E" w:rsidRPr="00390189" w:rsidRDefault="0044466E" w:rsidP="0044466E">
      <w:pPr>
        <w:contextualSpacing/>
        <w:rPr>
          <w:rFonts w:ascii="Book Antiqua" w:hAnsi="Book Antiqua" w:cs="Arial Hebrew"/>
          <w:b/>
          <w:bCs/>
          <w:sz w:val="22"/>
          <w:szCs w:val="22"/>
        </w:rPr>
      </w:pPr>
      <w:r w:rsidRPr="00390189">
        <w:rPr>
          <w:rFonts w:ascii="Book Antiqua" w:hAnsi="Book Antiqua" w:cs="Arial Hebrew"/>
          <w:b/>
          <w:bCs/>
          <w:sz w:val="22"/>
          <w:szCs w:val="22"/>
        </w:rPr>
        <w:t>Background</w:t>
      </w:r>
    </w:p>
    <w:p w14:paraId="1E5ABD15" w14:textId="6B9EE3F7" w:rsidR="008D1E3A" w:rsidRDefault="0044466E" w:rsidP="00006864">
      <w:pPr>
        <w:contextualSpacing/>
        <w:jc w:val="both"/>
        <w:rPr>
          <w:rFonts w:ascii="Book Antiqua" w:hAnsi="Book Antiqua" w:cs="Arial Hebrew"/>
          <w:sz w:val="22"/>
          <w:szCs w:val="22"/>
        </w:rPr>
      </w:pPr>
      <w:r w:rsidRPr="00390189">
        <w:rPr>
          <w:rFonts w:ascii="Book Antiqua" w:hAnsi="Book Antiqua" w:cs="Arial Hebrew"/>
          <w:sz w:val="22"/>
          <w:szCs w:val="22"/>
        </w:rPr>
        <w:t xml:space="preserve">The Two Rivers Public Health Department (TRPHD) covers 7 counties in central Nebraska, reaching 97,132 people who live and work in the health district spread across roughly 4663 square miles. </w:t>
      </w:r>
      <w:r w:rsidR="00281774" w:rsidRPr="00390189">
        <w:rPr>
          <w:rFonts w:ascii="Book Antiqua" w:hAnsi="Book Antiqua" w:cs="Arial Hebrew"/>
          <w:sz w:val="22"/>
          <w:szCs w:val="22"/>
        </w:rPr>
        <w:t>O</w:t>
      </w:r>
      <w:r w:rsidRPr="00390189">
        <w:rPr>
          <w:rFonts w:ascii="Book Antiqua" w:hAnsi="Book Antiqua" w:cs="Arial Hebrew"/>
          <w:sz w:val="22"/>
          <w:szCs w:val="22"/>
        </w:rPr>
        <w:t>ver three quarters of residents live in Buffalo and Dawson county, a tenth live in Phelps county, and the remaining 15% is spread somewhat comparably among the four counties of Kearney, Harlan, Franklin and Gosper in decreasing order</w:t>
      </w:r>
      <w:r w:rsidR="00055239" w:rsidRPr="00390189">
        <w:rPr>
          <w:rFonts w:ascii="Book Antiqua" w:hAnsi="Book Antiqua" w:cs="Arial Hebrew"/>
          <w:sz w:val="22"/>
          <w:szCs w:val="22"/>
        </w:rPr>
        <w:t xml:space="preserve"> of population</w:t>
      </w:r>
      <w:r w:rsidRPr="00390189">
        <w:rPr>
          <w:rFonts w:ascii="Book Antiqua" w:hAnsi="Book Antiqua" w:cs="Arial Hebrew"/>
          <w:sz w:val="22"/>
          <w:szCs w:val="22"/>
        </w:rPr>
        <w:t xml:space="preserve">. </w:t>
      </w:r>
      <w:r w:rsidR="009912D5">
        <w:rPr>
          <w:rFonts w:ascii="Book Antiqua" w:hAnsi="Book Antiqua" w:cs="Arial Hebrew"/>
          <w:sz w:val="22"/>
          <w:szCs w:val="22"/>
        </w:rPr>
        <w:t xml:space="preserve">Well </w:t>
      </w:r>
      <w:r w:rsidR="009912D5" w:rsidRPr="00390189">
        <w:rPr>
          <w:rFonts w:ascii="Book Antiqua" w:hAnsi="Book Antiqua" w:cs="Arial Hebrew"/>
          <w:sz w:val="22"/>
          <w:szCs w:val="22"/>
        </w:rPr>
        <w:t>over</w:t>
      </w:r>
      <w:r w:rsidR="009912D5">
        <w:rPr>
          <w:rFonts w:ascii="Book Antiqua" w:hAnsi="Book Antiqua" w:cs="Arial Hebrew"/>
          <w:sz w:val="22"/>
          <w:szCs w:val="22"/>
        </w:rPr>
        <w:t xml:space="preserve"> half</w:t>
      </w:r>
      <w:r w:rsidR="009912D5" w:rsidRPr="00390189">
        <w:rPr>
          <w:rFonts w:ascii="Book Antiqua" w:hAnsi="Book Antiqua" w:cs="Arial Hebrew"/>
          <w:sz w:val="22"/>
          <w:szCs w:val="22"/>
        </w:rPr>
        <w:t xml:space="preserve"> the residents of TRPHD live in </w:t>
      </w:r>
      <w:r w:rsidR="009912D5">
        <w:rPr>
          <w:rFonts w:ascii="Book Antiqua" w:hAnsi="Book Antiqua" w:cs="Arial Hebrew"/>
          <w:sz w:val="22"/>
          <w:szCs w:val="22"/>
        </w:rPr>
        <w:t>the t</w:t>
      </w:r>
      <w:r w:rsidR="009912D5" w:rsidRPr="00390189">
        <w:rPr>
          <w:rFonts w:ascii="Book Antiqua" w:hAnsi="Book Antiqua" w:cs="Arial Hebrew"/>
          <w:sz w:val="22"/>
          <w:szCs w:val="22"/>
        </w:rPr>
        <w:t xml:space="preserve">hree </w:t>
      </w:r>
      <w:r w:rsidR="009912D5">
        <w:rPr>
          <w:rFonts w:ascii="Book Antiqua" w:hAnsi="Book Antiqua" w:cs="Arial Hebrew"/>
          <w:sz w:val="22"/>
          <w:szCs w:val="22"/>
        </w:rPr>
        <w:t>largest cities</w:t>
      </w:r>
      <w:r w:rsidR="009912D5" w:rsidRPr="00390189">
        <w:rPr>
          <w:rFonts w:ascii="Book Antiqua" w:hAnsi="Book Antiqua" w:cs="Arial Hebrew"/>
          <w:sz w:val="22"/>
          <w:szCs w:val="22"/>
        </w:rPr>
        <w:t xml:space="preserve"> </w:t>
      </w:r>
      <w:r w:rsidR="009912D5">
        <w:rPr>
          <w:rFonts w:ascii="Book Antiqua" w:hAnsi="Book Antiqua" w:cs="Arial Hebrew"/>
          <w:sz w:val="22"/>
          <w:szCs w:val="22"/>
        </w:rPr>
        <w:t xml:space="preserve">- </w:t>
      </w:r>
      <w:r w:rsidRPr="00390189">
        <w:rPr>
          <w:rFonts w:ascii="Book Antiqua" w:hAnsi="Book Antiqua" w:cs="Arial Hebrew"/>
          <w:sz w:val="22"/>
          <w:szCs w:val="22"/>
        </w:rPr>
        <w:t>Holdrege</w:t>
      </w:r>
      <w:r w:rsidR="00155A9E">
        <w:rPr>
          <w:rFonts w:ascii="Book Antiqua" w:hAnsi="Book Antiqua" w:cs="Arial Hebrew"/>
          <w:sz w:val="22"/>
          <w:szCs w:val="22"/>
        </w:rPr>
        <w:t xml:space="preserve"> (pop. 5408),</w:t>
      </w:r>
      <w:r w:rsidRPr="00390189">
        <w:rPr>
          <w:rFonts w:ascii="Book Antiqua" w:hAnsi="Book Antiqua" w:cs="Arial Hebrew"/>
          <w:sz w:val="22"/>
          <w:szCs w:val="22"/>
        </w:rPr>
        <w:t xml:space="preserve"> Lexington</w:t>
      </w:r>
      <w:r w:rsidR="00155A9E">
        <w:rPr>
          <w:rFonts w:ascii="Book Antiqua" w:hAnsi="Book Antiqua" w:cs="Arial Hebrew"/>
          <w:sz w:val="22"/>
          <w:szCs w:val="22"/>
        </w:rPr>
        <w:t xml:space="preserve"> (pop. 10115)</w:t>
      </w:r>
      <w:r w:rsidRPr="00390189">
        <w:rPr>
          <w:rFonts w:ascii="Book Antiqua" w:hAnsi="Book Antiqua" w:cs="Arial Hebrew"/>
          <w:sz w:val="22"/>
          <w:szCs w:val="22"/>
        </w:rPr>
        <w:t xml:space="preserve"> and Kearney</w:t>
      </w:r>
      <w:r w:rsidR="00155A9E">
        <w:rPr>
          <w:rFonts w:ascii="Book Antiqua" w:hAnsi="Book Antiqua" w:cs="Arial Hebrew"/>
          <w:sz w:val="22"/>
          <w:szCs w:val="22"/>
        </w:rPr>
        <w:t xml:space="preserve"> (pop. 33867)</w:t>
      </w:r>
      <w:r w:rsidRPr="00390189">
        <w:rPr>
          <w:rFonts w:ascii="Book Antiqua" w:hAnsi="Book Antiqua" w:cs="Arial Hebrew"/>
          <w:sz w:val="22"/>
          <w:szCs w:val="22"/>
        </w:rPr>
        <w:t>,</w:t>
      </w:r>
      <w:r w:rsidR="003D4FDE">
        <w:rPr>
          <w:rFonts w:ascii="Book Antiqua" w:hAnsi="Book Antiqua" w:cs="Arial Hebrew"/>
          <w:sz w:val="22"/>
          <w:szCs w:val="22"/>
        </w:rPr>
        <w:t xml:space="preserve"> </w:t>
      </w:r>
      <w:r w:rsidRPr="00390189">
        <w:rPr>
          <w:rFonts w:ascii="Book Antiqua" w:hAnsi="Book Antiqua" w:cs="Arial Hebrew"/>
          <w:sz w:val="22"/>
          <w:szCs w:val="22"/>
        </w:rPr>
        <w:t>over a third in Kearney alone.</w:t>
      </w:r>
    </w:p>
    <w:p w14:paraId="1FD0177C" w14:textId="25B118A6" w:rsidR="008D1E3A" w:rsidRDefault="008D1E3A" w:rsidP="00006864">
      <w:pPr>
        <w:contextualSpacing/>
        <w:jc w:val="both"/>
        <w:rPr>
          <w:rFonts w:ascii="Book Antiqua" w:hAnsi="Book Antiqua" w:cs="Arial Hebrew"/>
          <w:sz w:val="22"/>
          <w:szCs w:val="22"/>
        </w:rPr>
      </w:pPr>
    </w:p>
    <w:p w14:paraId="3764B885" w14:textId="0333A25A" w:rsidR="00006864" w:rsidRDefault="00101B64" w:rsidP="00006864">
      <w:pPr>
        <w:contextualSpacing/>
        <w:jc w:val="both"/>
        <w:rPr>
          <w:rFonts w:ascii="Book Antiqua" w:hAnsi="Book Antiqua" w:cs="Arial Hebrew"/>
          <w:sz w:val="22"/>
          <w:szCs w:val="22"/>
        </w:rPr>
      </w:pPr>
      <w:r>
        <w:rPr>
          <w:rFonts w:ascii="Book Antiqua" w:hAnsi="Book Antiqua" w:cs="Arial Hebrew"/>
          <w:sz w:val="22"/>
          <w:szCs w:val="22"/>
        </w:rPr>
        <w:t>To better understand COVID transmission in TRPHD</w:t>
      </w:r>
      <w:r w:rsidR="00284D89">
        <w:rPr>
          <w:rFonts w:ascii="Book Antiqua" w:hAnsi="Book Antiqua" w:cs="Arial Hebrew"/>
          <w:sz w:val="22"/>
          <w:szCs w:val="22"/>
        </w:rPr>
        <w:t xml:space="preserve"> </w:t>
      </w:r>
      <w:r w:rsidR="00006864">
        <w:rPr>
          <w:rStyle w:val="FootnoteReference"/>
          <w:rFonts w:ascii="Book Antiqua" w:hAnsi="Book Antiqua" w:cs="Arial Hebrew"/>
          <w:sz w:val="22"/>
          <w:szCs w:val="22"/>
        </w:rPr>
        <w:footnoteReference w:id="1"/>
      </w:r>
      <w:r>
        <w:rPr>
          <w:rFonts w:ascii="Book Antiqua" w:hAnsi="Book Antiqua" w:cs="Arial Hebrew"/>
          <w:sz w:val="22"/>
          <w:szCs w:val="22"/>
        </w:rPr>
        <w:t xml:space="preserve">, we decided to analyze case numbers in </w:t>
      </w:r>
      <w:r w:rsidR="00006864">
        <w:rPr>
          <w:rFonts w:ascii="Book Antiqua" w:hAnsi="Book Antiqua" w:cs="Arial Hebrew"/>
          <w:sz w:val="22"/>
          <w:szCs w:val="22"/>
        </w:rPr>
        <w:t>Kearney, Lexington and Holdrege</w:t>
      </w:r>
      <w:r w:rsidR="009B252C">
        <w:rPr>
          <w:rFonts w:ascii="Book Antiqua" w:hAnsi="Book Antiqua" w:cs="Arial Hebrew"/>
          <w:sz w:val="22"/>
          <w:szCs w:val="22"/>
        </w:rPr>
        <w:t xml:space="preserve"> urban areas</w:t>
      </w:r>
      <w:r>
        <w:rPr>
          <w:rFonts w:ascii="Book Antiqua" w:hAnsi="Book Antiqua" w:cs="Arial Hebrew"/>
          <w:sz w:val="22"/>
          <w:szCs w:val="22"/>
        </w:rPr>
        <w:t xml:space="preserve">, </w:t>
      </w:r>
      <w:r w:rsidR="00006864">
        <w:rPr>
          <w:rFonts w:ascii="Book Antiqua" w:hAnsi="Book Antiqua" w:cs="Arial Hebrew"/>
          <w:sz w:val="22"/>
          <w:szCs w:val="22"/>
        </w:rPr>
        <w:t>defined</w:t>
      </w:r>
      <w:r w:rsidR="00A5173E">
        <w:rPr>
          <w:rFonts w:ascii="Book Antiqua" w:hAnsi="Book Antiqua" w:cs="Arial Hebrew"/>
          <w:sz w:val="22"/>
          <w:szCs w:val="22"/>
        </w:rPr>
        <w:t xml:space="preserve"> as</w:t>
      </w:r>
      <w:r w:rsidR="00006864">
        <w:rPr>
          <w:rFonts w:ascii="Book Antiqua" w:hAnsi="Book Antiqua" w:cs="Arial Hebrew"/>
          <w:sz w:val="22"/>
          <w:szCs w:val="22"/>
        </w:rPr>
        <w:t xml:space="preserve"> the city and</w:t>
      </w:r>
      <w:r>
        <w:rPr>
          <w:rFonts w:ascii="Book Antiqua" w:hAnsi="Book Antiqua" w:cs="Arial Hebrew"/>
          <w:sz w:val="22"/>
          <w:szCs w:val="22"/>
        </w:rPr>
        <w:t xml:space="preserve"> surrounding smaller towns</w:t>
      </w:r>
    </w:p>
    <w:p w14:paraId="05E6AADA" w14:textId="7AB22618" w:rsidR="0044466E" w:rsidRPr="009E1C54" w:rsidRDefault="0044466E" w:rsidP="00006864">
      <w:pPr>
        <w:pStyle w:val="ListParagraph"/>
        <w:numPr>
          <w:ilvl w:val="0"/>
          <w:numId w:val="16"/>
        </w:numPr>
        <w:jc w:val="both"/>
        <w:rPr>
          <w:rFonts w:ascii="Book Antiqua" w:hAnsi="Book Antiqua" w:cs="Arial Hebrew"/>
        </w:rPr>
      </w:pPr>
      <w:r w:rsidRPr="009E1C54">
        <w:rPr>
          <w:rFonts w:ascii="Book Antiqua" w:hAnsi="Book Antiqua" w:cs="Arial Hebrew"/>
        </w:rPr>
        <w:t>“Kearney</w:t>
      </w:r>
      <w:r w:rsidR="00F820EB" w:rsidRPr="009E1C54">
        <w:rPr>
          <w:rFonts w:ascii="Book Antiqua" w:hAnsi="Book Antiqua" w:cs="Arial Hebrew"/>
        </w:rPr>
        <w:t xml:space="preserve"> area</w:t>
      </w:r>
      <w:r w:rsidRPr="009E1C54">
        <w:rPr>
          <w:rFonts w:ascii="Book Antiqua" w:hAnsi="Book Antiqua" w:cs="Arial Hebrew"/>
        </w:rPr>
        <w:t>” includes Kearney c</w:t>
      </w:r>
      <w:r w:rsidR="00101B64" w:rsidRPr="009E1C54">
        <w:rPr>
          <w:rFonts w:ascii="Book Antiqua" w:hAnsi="Book Antiqua" w:cs="Arial Hebrew"/>
        </w:rPr>
        <w:t xml:space="preserve">ity, </w:t>
      </w:r>
      <w:r w:rsidRPr="009E1C54">
        <w:rPr>
          <w:rFonts w:ascii="Book Antiqua" w:hAnsi="Book Antiqua" w:cs="Arial Hebrew"/>
        </w:rPr>
        <w:t>Elm Creek, Pleasanton, Amherst, Riverdale, Gibbon, Shelton and Axtell</w:t>
      </w:r>
      <w:r w:rsidR="00155A9E" w:rsidRPr="009E1C54">
        <w:rPr>
          <w:rFonts w:ascii="Book Antiqua" w:hAnsi="Book Antiqua" w:cs="Arial Hebrew"/>
        </w:rPr>
        <w:t xml:space="preserve"> (39,412 people) </w:t>
      </w:r>
    </w:p>
    <w:p w14:paraId="72706454" w14:textId="5254E357" w:rsidR="00523F0C" w:rsidRPr="00B23E95" w:rsidRDefault="00523F0C" w:rsidP="00101B64">
      <w:pPr>
        <w:pStyle w:val="ListParagraph"/>
        <w:numPr>
          <w:ilvl w:val="0"/>
          <w:numId w:val="16"/>
        </w:numPr>
        <w:jc w:val="both"/>
        <w:rPr>
          <w:rFonts w:ascii="Georgia" w:hAnsi="Georgia"/>
        </w:rPr>
      </w:pPr>
      <w:r w:rsidRPr="00B23E95">
        <w:rPr>
          <w:rFonts w:ascii="Georgia" w:hAnsi="Georgia"/>
        </w:rPr>
        <w:t>“Lexington area” includes Lexington</w:t>
      </w:r>
      <w:r w:rsidR="00101B64" w:rsidRPr="00B23E95">
        <w:rPr>
          <w:rFonts w:ascii="Georgia" w:hAnsi="Georgia"/>
        </w:rPr>
        <w:t xml:space="preserve">, </w:t>
      </w:r>
      <w:r w:rsidRPr="00B23E95">
        <w:rPr>
          <w:rFonts w:ascii="Georgia" w:hAnsi="Georgia"/>
        </w:rPr>
        <w:t xml:space="preserve">Overton, </w:t>
      </w:r>
      <w:r w:rsidR="002344F0" w:rsidRPr="00B23E95">
        <w:rPr>
          <w:rFonts w:ascii="Georgia" w:hAnsi="Georgia"/>
        </w:rPr>
        <w:t xml:space="preserve">Elwood, </w:t>
      </w:r>
      <w:r w:rsidRPr="00B23E95">
        <w:rPr>
          <w:rFonts w:ascii="Georgia" w:hAnsi="Georgia"/>
        </w:rPr>
        <w:t>Johnson Lake and Cozad</w:t>
      </w:r>
      <w:r w:rsidR="00155A9E" w:rsidRPr="00B23E95">
        <w:rPr>
          <w:rFonts w:ascii="Georgia" w:hAnsi="Georgia"/>
        </w:rPr>
        <w:t xml:space="preserve"> </w:t>
      </w:r>
      <w:r w:rsidR="00155A9E" w:rsidRPr="00B23E95">
        <w:rPr>
          <w:rFonts w:ascii="Book Antiqua" w:hAnsi="Book Antiqua" w:cs="Arial Hebrew"/>
        </w:rPr>
        <w:t>(15,</w:t>
      </w:r>
      <w:r w:rsidR="005643B3" w:rsidRPr="00B23E95">
        <w:rPr>
          <w:rFonts w:ascii="Book Antiqua" w:hAnsi="Book Antiqua" w:cs="Arial Hebrew"/>
        </w:rPr>
        <w:t>700</w:t>
      </w:r>
      <w:r w:rsidR="00155A9E" w:rsidRPr="00B23E95">
        <w:rPr>
          <w:rFonts w:ascii="Book Antiqua" w:hAnsi="Book Antiqua" w:cs="Arial Hebrew"/>
        </w:rPr>
        <w:t xml:space="preserve"> people)</w:t>
      </w:r>
    </w:p>
    <w:p w14:paraId="2FD87BCD" w14:textId="59536F35" w:rsidR="004E6EAC" w:rsidRPr="00B23E95" w:rsidRDefault="0044466E" w:rsidP="004E6EAC">
      <w:pPr>
        <w:pStyle w:val="ListParagraph"/>
        <w:numPr>
          <w:ilvl w:val="0"/>
          <w:numId w:val="16"/>
        </w:numPr>
        <w:jc w:val="both"/>
        <w:rPr>
          <w:rFonts w:ascii="Book Antiqua" w:hAnsi="Book Antiqua" w:cs="Arial Hebrew"/>
          <w:u w:val="single"/>
        </w:rPr>
      </w:pPr>
      <w:r w:rsidRPr="00B23E95">
        <w:rPr>
          <w:rFonts w:ascii="Book Antiqua" w:hAnsi="Book Antiqua" w:cs="Arial Hebrew"/>
          <w:u w:val="single"/>
        </w:rPr>
        <w:t>“Holdrege</w:t>
      </w:r>
      <w:r w:rsidR="00F820EB" w:rsidRPr="00B23E95">
        <w:rPr>
          <w:rFonts w:ascii="Book Antiqua" w:hAnsi="Book Antiqua" w:cs="Arial Hebrew"/>
          <w:u w:val="single"/>
        </w:rPr>
        <w:t xml:space="preserve"> area</w:t>
      </w:r>
      <w:r w:rsidRPr="00B23E95">
        <w:rPr>
          <w:rFonts w:ascii="Book Antiqua" w:hAnsi="Book Antiqua" w:cs="Arial Hebrew"/>
          <w:u w:val="single"/>
        </w:rPr>
        <w:t>” includes Holdrege, Loomis and Funk</w:t>
      </w:r>
      <w:r w:rsidR="00155A9E" w:rsidRPr="00B23E95">
        <w:rPr>
          <w:rFonts w:ascii="Book Antiqua" w:hAnsi="Book Antiqua" w:cs="Arial Hebrew"/>
          <w:u w:val="single"/>
        </w:rPr>
        <w:t xml:space="preserve"> (5967 people).</w:t>
      </w:r>
    </w:p>
    <w:p w14:paraId="1D845D0B" w14:textId="79FF6364" w:rsidR="00F75348" w:rsidRPr="004E6EAC" w:rsidRDefault="0044466E" w:rsidP="00292B58">
      <w:pPr>
        <w:jc w:val="both"/>
        <w:rPr>
          <w:rFonts w:ascii="Book Antiqua" w:hAnsi="Book Antiqua" w:cs="Arial Hebrew"/>
        </w:rPr>
      </w:pPr>
      <w:r w:rsidRPr="004E6EAC">
        <w:rPr>
          <w:rFonts w:ascii="Book Antiqua" w:hAnsi="Book Antiqua" w:cs="Arial Hebrew"/>
        </w:rPr>
        <w:t xml:space="preserve">In the </w:t>
      </w:r>
      <w:r w:rsidR="00F63EAC">
        <w:rPr>
          <w:rFonts w:ascii="Book Antiqua" w:hAnsi="Book Antiqua" w:cs="Arial Hebrew"/>
        </w:rPr>
        <w:t>fifteenth</w:t>
      </w:r>
      <w:r w:rsidRPr="004E6EAC">
        <w:rPr>
          <w:rFonts w:ascii="Book Antiqua" w:hAnsi="Book Antiqua" w:cs="Arial Hebrew"/>
        </w:rPr>
        <w:t xml:space="preserve"> edition of this document, we </w:t>
      </w:r>
      <w:r w:rsidR="00574CA9" w:rsidRPr="004E6EAC">
        <w:rPr>
          <w:rFonts w:ascii="Book Antiqua" w:hAnsi="Book Antiqua" w:cs="Arial Hebrew"/>
        </w:rPr>
        <w:t xml:space="preserve">will </w:t>
      </w:r>
    </w:p>
    <w:p w14:paraId="5D767D01" w14:textId="3A4E6F0A" w:rsidR="00F75348" w:rsidRDefault="00044395" w:rsidP="00E8526D">
      <w:pPr>
        <w:pStyle w:val="ListParagraph"/>
        <w:numPr>
          <w:ilvl w:val="0"/>
          <w:numId w:val="14"/>
        </w:numPr>
        <w:spacing w:line="240" w:lineRule="auto"/>
        <w:jc w:val="both"/>
        <w:rPr>
          <w:rFonts w:ascii="Book Antiqua" w:hAnsi="Book Antiqua" w:cs="Arial Hebrew"/>
        </w:rPr>
      </w:pPr>
      <w:r w:rsidRPr="00390189">
        <w:rPr>
          <w:rFonts w:ascii="Book Antiqua" w:hAnsi="Book Antiqua" w:cs="Arial Hebrew"/>
        </w:rPr>
        <w:t>L</w:t>
      </w:r>
      <w:r w:rsidR="0044466E" w:rsidRPr="00390189">
        <w:rPr>
          <w:rFonts w:ascii="Book Antiqua" w:hAnsi="Book Antiqua" w:cs="Arial Hebrew"/>
        </w:rPr>
        <w:t xml:space="preserve">ook at </w:t>
      </w:r>
      <w:r w:rsidR="0044466E" w:rsidRPr="00F54D27">
        <w:rPr>
          <w:rFonts w:ascii="Book Antiqua" w:hAnsi="Book Antiqua" w:cs="Arial Hebrew"/>
        </w:rPr>
        <w:t xml:space="preserve">the </w:t>
      </w:r>
      <w:r w:rsidR="00A31F68" w:rsidRPr="00F54D27">
        <w:rPr>
          <w:rFonts w:ascii="Book Antiqua" w:hAnsi="Book Antiqua" w:cs="Arial Hebrew"/>
        </w:rPr>
        <w:t xml:space="preserve">overall </w:t>
      </w:r>
      <w:r w:rsidR="0044466E" w:rsidRPr="00F54D27">
        <w:rPr>
          <w:rFonts w:ascii="Book Antiqua" w:hAnsi="Book Antiqua" w:cs="Arial Hebrew"/>
        </w:rPr>
        <w:t>course of the COVID-19 pandemic in TRPHD</w:t>
      </w:r>
      <w:r w:rsidR="00F75348" w:rsidRPr="00F54D27">
        <w:rPr>
          <w:rFonts w:ascii="Book Antiqua" w:hAnsi="Book Antiqua" w:cs="Arial Hebrew"/>
        </w:rPr>
        <w:t xml:space="preserve"> from </w:t>
      </w:r>
      <w:r w:rsidR="006B1E6F" w:rsidRPr="006E6B09">
        <w:rPr>
          <w:rFonts w:ascii="Book Antiqua" w:hAnsi="Book Antiqua" w:cs="Arial Hebrew"/>
          <w:b/>
          <w:bCs/>
        </w:rPr>
        <w:t>April</w:t>
      </w:r>
      <w:r w:rsidR="00F75348" w:rsidRPr="006E6B09">
        <w:rPr>
          <w:rFonts w:ascii="Book Antiqua" w:hAnsi="Book Antiqua" w:cs="Arial Hebrew"/>
          <w:b/>
          <w:bCs/>
        </w:rPr>
        <w:t xml:space="preserve"> </w:t>
      </w:r>
      <w:r w:rsidR="002344F0">
        <w:rPr>
          <w:rFonts w:ascii="Book Antiqua" w:hAnsi="Book Antiqua" w:cs="Arial Hebrew"/>
          <w:b/>
          <w:bCs/>
        </w:rPr>
        <w:t>–</w:t>
      </w:r>
      <w:r w:rsidR="00F75348" w:rsidRPr="006E6B09">
        <w:rPr>
          <w:rFonts w:ascii="Book Antiqua" w:hAnsi="Book Antiqua" w:cs="Arial Hebrew"/>
          <w:b/>
          <w:bCs/>
        </w:rPr>
        <w:t xml:space="preserve"> </w:t>
      </w:r>
      <w:r w:rsidR="00B85815">
        <w:rPr>
          <w:rFonts w:ascii="Book Antiqua" w:hAnsi="Book Antiqua" w:cs="Arial Hebrew"/>
          <w:b/>
          <w:bCs/>
        </w:rPr>
        <w:t>January</w:t>
      </w:r>
      <w:r w:rsidR="00F75348" w:rsidRPr="00F54D27">
        <w:rPr>
          <w:rFonts w:ascii="Book Antiqua" w:hAnsi="Book Antiqua" w:cs="Arial Hebrew"/>
        </w:rPr>
        <w:t xml:space="preserve"> </w:t>
      </w:r>
      <w:r w:rsidR="00630680" w:rsidRPr="00F54D27">
        <w:rPr>
          <w:rFonts w:ascii="Book Antiqua" w:hAnsi="Book Antiqua" w:cs="Arial Hebrew"/>
        </w:rPr>
        <w:t>(</w:t>
      </w:r>
      <w:r w:rsidR="00A65A40">
        <w:rPr>
          <w:rFonts w:ascii="Book Antiqua" w:hAnsi="Book Antiqua" w:cs="Arial Hebrew"/>
        </w:rPr>
        <w:t>4</w:t>
      </w:r>
      <w:r w:rsidR="008046DC">
        <w:rPr>
          <w:rFonts w:ascii="Book Antiqua" w:hAnsi="Book Antiqua" w:cs="Arial Hebrew"/>
        </w:rPr>
        <w:t>3</w:t>
      </w:r>
      <w:r w:rsidR="00630680" w:rsidRPr="00F54D27">
        <w:rPr>
          <w:rFonts w:ascii="Book Antiqua" w:hAnsi="Book Antiqua" w:cs="Arial Hebrew"/>
        </w:rPr>
        <w:t xml:space="preserve"> weeks) </w:t>
      </w:r>
      <w:r w:rsidR="00F75348" w:rsidRPr="00F54D27">
        <w:rPr>
          <w:rFonts w:ascii="Book Antiqua" w:hAnsi="Book Antiqua" w:cs="Arial Hebrew"/>
        </w:rPr>
        <w:t>and</w:t>
      </w:r>
      <w:r w:rsidR="0044466E" w:rsidRPr="00F54D27">
        <w:rPr>
          <w:rFonts w:ascii="Book Antiqua" w:hAnsi="Book Antiqua" w:cs="Arial Hebrew"/>
        </w:rPr>
        <w:t xml:space="preserve"> identify </w:t>
      </w:r>
      <w:r w:rsidR="00F75348" w:rsidRPr="00F54D27">
        <w:rPr>
          <w:rFonts w:ascii="Book Antiqua" w:hAnsi="Book Antiqua" w:cs="Arial Hebrew"/>
        </w:rPr>
        <w:t xml:space="preserve">outbreaks in each of the three </w:t>
      </w:r>
      <w:r w:rsidR="00F75348" w:rsidRPr="008046DC">
        <w:rPr>
          <w:rFonts w:ascii="Book Antiqua" w:hAnsi="Book Antiqua" w:cs="Arial Hebrew"/>
          <w:b/>
          <w:bCs/>
        </w:rPr>
        <w:t>urban</w:t>
      </w:r>
      <w:r w:rsidR="00F75348" w:rsidRPr="00F54D27">
        <w:rPr>
          <w:rFonts w:ascii="Book Antiqua" w:hAnsi="Book Antiqua" w:cs="Arial Hebrew"/>
        </w:rPr>
        <w:t xml:space="preserve"> </w:t>
      </w:r>
      <w:r w:rsidR="00F75348" w:rsidRPr="008046DC">
        <w:rPr>
          <w:rFonts w:ascii="Book Antiqua" w:hAnsi="Book Antiqua" w:cs="Arial Hebrew"/>
          <w:b/>
          <w:bCs/>
        </w:rPr>
        <w:t>areas</w:t>
      </w:r>
      <w:r w:rsidR="00F75348" w:rsidRPr="00F54D27">
        <w:rPr>
          <w:rFonts w:ascii="Book Antiqua" w:hAnsi="Book Antiqua" w:cs="Arial Hebrew"/>
        </w:rPr>
        <w:t>.</w:t>
      </w:r>
      <w:r w:rsidR="00751B87">
        <w:rPr>
          <w:rFonts w:ascii="Book Antiqua" w:hAnsi="Book Antiqua" w:cs="Arial Hebrew"/>
        </w:rPr>
        <w:t xml:space="preserve"> </w:t>
      </w:r>
    </w:p>
    <w:p w14:paraId="7433E6B8" w14:textId="492232D4" w:rsidR="004F46FA" w:rsidRDefault="004F46FA" w:rsidP="004F46FA">
      <w:pPr>
        <w:pStyle w:val="ListParagraph"/>
        <w:numPr>
          <w:ilvl w:val="0"/>
          <w:numId w:val="14"/>
        </w:numPr>
        <w:jc w:val="both"/>
        <w:rPr>
          <w:rFonts w:ascii="Book Antiqua" w:hAnsi="Book Antiqua" w:cs="Arial Hebrew"/>
        </w:rPr>
      </w:pPr>
      <w:r w:rsidRPr="00F54D27">
        <w:rPr>
          <w:rFonts w:ascii="Book Antiqua" w:hAnsi="Book Antiqua" w:cs="Arial Hebrew"/>
        </w:rPr>
        <w:t xml:space="preserve">Analyze </w:t>
      </w:r>
      <w:r>
        <w:rPr>
          <w:rFonts w:ascii="Book Antiqua" w:hAnsi="Book Antiqua" w:cs="Arial Hebrew"/>
        </w:rPr>
        <w:t>daily</w:t>
      </w:r>
      <w:r w:rsidRPr="00F54D27">
        <w:rPr>
          <w:rFonts w:ascii="Book Antiqua" w:hAnsi="Book Antiqua" w:cs="Arial Hebrew"/>
        </w:rPr>
        <w:t xml:space="preserve"> case</w:t>
      </w:r>
      <w:r>
        <w:rPr>
          <w:rFonts w:ascii="Book Antiqua" w:hAnsi="Book Antiqua" w:cs="Arial Hebrew"/>
        </w:rPr>
        <w:t xml:space="preserve"> average</w:t>
      </w:r>
      <w:r w:rsidRPr="00F54D27">
        <w:rPr>
          <w:rFonts w:ascii="Book Antiqua" w:hAnsi="Book Antiqua" w:cs="Arial Hebrew"/>
        </w:rPr>
        <w:t xml:space="preserve">s </w:t>
      </w:r>
      <w:r>
        <w:rPr>
          <w:rFonts w:ascii="Book Antiqua" w:hAnsi="Book Antiqua" w:cs="Arial Hebrew"/>
        </w:rPr>
        <w:t xml:space="preserve">(7-day rolling) </w:t>
      </w:r>
      <w:r w:rsidRPr="00F54D27">
        <w:rPr>
          <w:rFonts w:ascii="Book Antiqua" w:hAnsi="Book Antiqua" w:cs="Arial Hebrew"/>
        </w:rPr>
        <w:t xml:space="preserve">in </w:t>
      </w:r>
      <w:r w:rsidRPr="006E6B09">
        <w:rPr>
          <w:rFonts w:ascii="Book Antiqua" w:hAnsi="Book Antiqua" w:cs="Arial Hebrew"/>
          <w:b/>
          <w:bCs/>
        </w:rPr>
        <w:t>Kearney</w:t>
      </w:r>
      <w:r w:rsidR="00B24AAC" w:rsidRPr="00B24AAC">
        <w:rPr>
          <w:rFonts w:ascii="Book Antiqua" w:hAnsi="Book Antiqua" w:cs="Arial Hebrew"/>
          <w:b/>
          <w:bCs/>
        </w:rPr>
        <w:t>, Lexington and Holdrege cities</w:t>
      </w:r>
      <w:r w:rsidR="00B24AAC">
        <w:rPr>
          <w:rFonts w:ascii="Book Antiqua" w:hAnsi="Book Antiqua" w:cs="Arial Hebrew"/>
        </w:rPr>
        <w:t xml:space="preserve"> </w:t>
      </w:r>
      <w:r w:rsidRPr="00F54D27">
        <w:rPr>
          <w:rFonts w:ascii="Book Antiqua" w:hAnsi="Book Antiqua" w:cs="Arial Hebrew"/>
        </w:rPr>
        <w:t xml:space="preserve">from </w:t>
      </w:r>
      <w:r w:rsidR="00B85815">
        <w:rPr>
          <w:rFonts w:ascii="Book Antiqua" w:hAnsi="Book Antiqua" w:cs="Arial Hebrew"/>
          <w:b/>
          <w:bCs/>
        </w:rPr>
        <w:t>March 9</w:t>
      </w:r>
      <w:r w:rsidRPr="009B252C">
        <w:rPr>
          <w:rFonts w:ascii="Book Antiqua" w:hAnsi="Book Antiqua" w:cs="Arial Hebrew"/>
          <w:b/>
          <w:bCs/>
        </w:rPr>
        <w:t xml:space="preserve"> – </w:t>
      </w:r>
      <w:r w:rsidR="00A65A40">
        <w:rPr>
          <w:rFonts w:ascii="Book Antiqua" w:hAnsi="Book Antiqua" w:cs="Arial Hebrew"/>
          <w:b/>
          <w:bCs/>
        </w:rPr>
        <w:t xml:space="preserve">January </w:t>
      </w:r>
      <w:r w:rsidR="00B24AAC">
        <w:rPr>
          <w:rFonts w:ascii="Book Antiqua" w:hAnsi="Book Antiqua" w:cs="Arial Hebrew"/>
          <w:b/>
          <w:bCs/>
        </w:rPr>
        <w:t>26.</w:t>
      </w:r>
    </w:p>
    <w:p w14:paraId="7E82EE8C" w14:textId="41959ECC" w:rsidR="00006864" w:rsidRDefault="00AD4243" w:rsidP="00E8526D">
      <w:pPr>
        <w:pStyle w:val="ListParagraph"/>
        <w:numPr>
          <w:ilvl w:val="0"/>
          <w:numId w:val="14"/>
        </w:numPr>
        <w:jc w:val="both"/>
        <w:rPr>
          <w:rFonts w:ascii="Book Antiqua" w:hAnsi="Book Antiqua" w:cs="Arial Hebrew"/>
        </w:rPr>
      </w:pPr>
      <w:r>
        <w:rPr>
          <w:rFonts w:ascii="Book Antiqua" w:hAnsi="Book Antiqua" w:cs="Arial Hebrew"/>
        </w:rPr>
        <w:t xml:space="preserve">Describe 7-day rolling average of cases in </w:t>
      </w:r>
      <w:r w:rsidR="00F63EAC">
        <w:rPr>
          <w:rFonts w:ascii="Book Antiqua" w:hAnsi="Book Antiqua" w:cs="Arial Hebrew"/>
          <w:b/>
          <w:bCs/>
        </w:rPr>
        <w:t>Holdrege</w:t>
      </w:r>
      <w:r w:rsidR="00B60B43">
        <w:rPr>
          <w:rFonts w:ascii="Book Antiqua" w:hAnsi="Book Antiqua" w:cs="Arial Hebrew"/>
        </w:rPr>
        <w:t xml:space="preserve"> </w:t>
      </w:r>
      <w:r w:rsidR="00B60B43" w:rsidRPr="00B85815">
        <w:rPr>
          <w:rFonts w:ascii="Book Antiqua" w:hAnsi="Book Antiqua" w:cs="Arial Hebrew"/>
          <w:b/>
          <w:bCs/>
        </w:rPr>
        <w:t>area</w:t>
      </w:r>
      <w:r w:rsidR="00B60B43">
        <w:rPr>
          <w:rFonts w:ascii="Book Antiqua" w:hAnsi="Book Antiqua" w:cs="Arial Hebrew"/>
        </w:rPr>
        <w:t xml:space="preserve"> </w:t>
      </w:r>
      <w:r w:rsidR="00044395" w:rsidRPr="00390189">
        <w:rPr>
          <w:rFonts w:ascii="Book Antiqua" w:hAnsi="Book Antiqua" w:cs="Arial Hebrew"/>
        </w:rPr>
        <w:t>by age and city of residence</w:t>
      </w:r>
      <w:r>
        <w:rPr>
          <w:rFonts w:ascii="Book Antiqua" w:hAnsi="Book Antiqua" w:cs="Arial Hebrew"/>
        </w:rPr>
        <w:t xml:space="preserve"> from </w:t>
      </w:r>
      <w:r w:rsidRPr="005354A8">
        <w:rPr>
          <w:rFonts w:ascii="Book Antiqua" w:hAnsi="Book Antiqua" w:cs="Arial Hebrew"/>
          <w:b/>
          <w:bCs/>
        </w:rPr>
        <w:t xml:space="preserve">July 01 – </w:t>
      </w:r>
      <w:r w:rsidR="00EB14E0">
        <w:rPr>
          <w:rFonts w:ascii="Book Antiqua" w:hAnsi="Book Antiqua" w:cs="Arial Hebrew"/>
          <w:b/>
          <w:bCs/>
        </w:rPr>
        <w:t xml:space="preserve">January </w:t>
      </w:r>
      <w:r w:rsidR="00A82339">
        <w:rPr>
          <w:rFonts w:ascii="Book Antiqua" w:hAnsi="Book Antiqua" w:cs="Arial Hebrew"/>
          <w:b/>
          <w:bCs/>
        </w:rPr>
        <w:t>26</w:t>
      </w:r>
      <w:r w:rsidR="00E8526D" w:rsidRPr="00390189">
        <w:rPr>
          <w:rFonts w:ascii="Book Antiqua" w:hAnsi="Book Antiqua" w:cs="Arial Hebrew"/>
        </w:rPr>
        <w:t xml:space="preserve">. </w:t>
      </w:r>
    </w:p>
    <w:p w14:paraId="63F3A9C8" w14:textId="496034CD" w:rsidR="00F46A59" w:rsidRDefault="002753EF" w:rsidP="00101B64">
      <w:pPr>
        <w:pStyle w:val="ListParagraph"/>
        <w:numPr>
          <w:ilvl w:val="0"/>
          <w:numId w:val="14"/>
        </w:numPr>
        <w:spacing w:line="240" w:lineRule="auto"/>
        <w:jc w:val="both"/>
        <w:rPr>
          <w:rFonts w:ascii="Book Antiqua" w:hAnsi="Book Antiqua" w:cs="Arial Hebrew"/>
        </w:rPr>
      </w:pPr>
      <w:r w:rsidRPr="00390189">
        <w:rPr>
          <w:rFonts w:ascii="Book Antiqua" w:hAnsi="Book Antiqua" w:cs="Arial Hebrew"/>
        </w:rPr>
        <w:t xml:space="preserve">Describe the </w:t>
      </w:r>
      <w:r w:rsidR="00F75DB8">
        <w:rPr>
          <w:rFonts w:ascii="Book Antiqua" w:hAnsi="Book Antiqua" w:cs="Arial Hebrew"/>
        </w:rPr>
        <w:t xml:space="preserve">7-day rolling average </w:t>
      </w:r>
      <w:r w:rsidRPr="00390189">
        <w:rPr>
          <w:rFonts w:ascii="Book Antiqua" w:hAnsi="Book Antiqua" w:cs="Arial Hebrew"/>
        </w:rPr>
        <w:t xml:space="preserve">of COVID-19 cases from </w:t>
      </w:r>
      <w:r w:rsidR="00F04A21">
        <w:rPr>
          <w:rFonts w:ascii="Book Antiqua" w:hAnsi="Book Antiqua" w:cs="Arial Hebrew"/>
          <w:b/>
          <w:bCs/>
        </w:rPr>
        <w:t xml:space="preserve">Dec </w:t>
      </w:r>
      <w:r w:rsidR="00B85815">
        <w:rPr>
          <w:rFonts w:ascii="Book Antiqua" w:hAnsi="Book Antiqua" w:cs="Arial Hebrew"/>
          <w:b/>
          <w:bCs/>
        </w:rPr>
        <w:t>2</w:t>
      </w:r>
      <w:r w:rsidR="0026585A">
        <w:rPr>
          <w:rFonts w:ascii="Book Antiqua" w:hAnsi="Book Antiqua" w:cs="Arial Hebrew"/>
          <w:b/>
          <w:bCs/>
        </w:rPr>
        <w:t>9</w:t>
      </w:r>
      <w:r w:rsidRPr="005354A8">
        <w:rPr>
          <w:rFonts w:ascii="Book Antiqua" w:hAnsi="Book Antiqua" w:cs="Arial Hebrew"/>
          <w:b/>
          <w:bCs/>
        </w:rPr>
        <w:t xml:space="preserve"> – </w:t>
      </w:r>
      <w:r w:rsidR="00EB14E0">
        <w:rPr>
          <w:rFonts w:ascii="Book Antiqua" w:hAnsi="Book Antiqua" w:cs="Arial Hebrew"/>
          <w:b/>
          <w:bCs/>
        </w:rPr>
        <w:t xml:space="preserve">Jan </w:t>
      </w:r>
      <w:r w:rsidR="00A82339">
        <w:rPr>
          <w:rFonts w:ascii="Book Antiqua" w:hAnsi="Book Antiqua" w:cs="Arial Hebrew"/>
          <w:b/>
          <w:bCs/>
        </w:rPr>
        <w:t>26</w:t>
      </w:r>
      <w:r w:rsidRPr="00390189">
        <w:rPr>
          <w:rFonts w:ascii="Book Antiqua" w:hAnsi="Book Antiqua" w:cs="Arial Hebrew"/>
        </w:rPr>
        <w:t xml:space="preserve"> </w:t>
      </w:r>
      <w:r w:rsidRPr="005354A8">
        <w:rPr>
          <w:rFonts w:ascii="Book Antiqua" w:hAnsi="Book Antiqua" w:cs="Arial Hebrew"/>
        </w:rPr>
        <w:t>(4 weeks)</w:t>
      </w:r>
      <w:r w:rsidR="00E8526D" w:rsidRPr="00390189">
        <w:rPr>
          <w:rFonts w:ascii="Book Antiqua" w:hAnsi="Book Antiqua" w:cs="Arial Hebrew"/>
        </w:rPr>
        <w:t xml:space="preserve"> across </w:t>
      </w:r>
      <w:r w:rsidR="006253F6">
        <w:rPr>
          <w:rFonts w:ascii="Book Antiqua" w:hAnsi="Book Antiqua" w:cs="Arial Hebrew"/>
        </w:rPr>
        <w:t>cities</w:t>
      </w:r>
      <w:r w:rsidR="00DD2B24">
        <w:rPr>
          <w:rFonts w:ascii="Book Antiqua" w:hAnsi="Book Antiqua" w:cs="Arial Hebrew"/>
        </w:rPr>
        <w:t xml:space="preserve"> </w:t>
      </w:r>
      <w:r w:rsidR="00F75DB8" w:rsidRPr="005A7470">
        <w:rPr>
          <w:rFonts w:ascii="Book Antiqua" w:hAnsi="Book Antiqua" w:cs="Arial Hebrew"/>
        </w:rPr>
        <w:t xml:space="preserve">in </w:t>
      </w:r>
      <w:r w:rsidR="005A7470" w:rsidRPr="005A7470">
        <w:rPr>
          <w:rFonts w:ascii="Book Antiqua" w:hAnsi="Book Antiqua" w:cs="Arial Hebrew"/>
        </w:rPr>
        <w:t>Two Rivers</w:t>
      </w:r>
      <w:r w:rsidR="005A7470">
        <w:rPr>
          <w:rFonts w:ascii="Book Antiqua" w:hAnsi="Book Antiqua" w:cs="Arial Hebrew"/>
        </w:rPr>
        <w:t xml:space="preserve"> Health District</w:t>
      </w:r>
      <w:r w:rsidR="00F75DB8">
        <w:rPr>
          <w:rFonts w:ascii="Book Antiqua" w:hAnsi="Book Antiqua" w:cs="Arial Hebrew"/>
        </w:rPr>
        <w:t>. Present the same case counts/10,000 persons</w:t>
      </w:r>
      <w:r w:rsidR="005A7470">
        <w:rPr>
          <w:rFonts w:ascii="Book Antiqua" w:hAnsi="Book Antiqua" w:cs="Arial Hebrew"/>
        </w:rPr>
        <w:t>.</w:t>
      </w:r>
      <w:r w:rsidR="00101B64">
        <w:rPr>
          <w:rFonts w:ascii="Book Antiqua" w:hAnsi="Book Antiqua" w:cs="Arial Hebrew"/>
        </w:rPr>
        <w:t xml:space="preserve"> </w:t>
      </w:r>
    </w:p>
    <w:p w14:paraId="4645F048" w14:textId="20B960E1" w:rsidR="004504E8" w:rsidRPr="002E5A49" w:rsidRDefault="00F46A59" w:rsidP="004B025E">
      <w:pPr>
        <w:pStyle w:val="ListParagraph"/>
        <w:numPr>
          <w:ilvl w:val="0"/>
          <w:numId w:val="14"/>
        </w:numPr>
        <w:spacing w:line="240" w:lineRule="auto"/>
        <w:jc w:val="both"/>
        <w:rPr>
          <w:rFonts w:ascii="Book Antiqua" w:hAnsi="Book Antiqua" w:cs="Arial Hebrew"/>
        </w:rPr>
      </w:pPr>
      <w:r>
        <w:rPr>
          <w:rFonts w:ascii="Book Antiqua" w:hAnsi="Book Antiqua" w:cs="Arial Hebrew"/>
        </w:rPr>
        <w:t xml:space="preserve">Present a brief weekly </w:t>
      </w:r>
      <w:r w:rsidR="004504E8">
        <w:rPr>
          <w:rFonts w:ascii="Book Antiqua" w:hAnsi="Book Antiqua" w:cs="Arial Hebrew"/>
        </w:rPr>
        <w:t>overview and analysis</w:t>
      </w:r>
      <w:r>
        <w:rPr>
          <w:rFonts w:ascii="Book Antiqua" w:hAnsi="Book Antiqua" w:cs="Arial Hebrew"/>
        </w:rPr>
        <w:t xml:space="preserve"> </w:t>
      </w:r>
      <w:r w:rsidR="008D1E3A">
        <w:rPr>
          <w:rFonts w:ascii="Book Antiqua" w:hAnsi="Book Antiqua" w:cs="Arial Hebrew"/>
        </w:rPr>
        <w:t xml:space="preserve">for </w:t>
      </w:r>
      <w:r w:rsidR="00F63EAC">
        <w:rPr>
          <w:rFonts w:ascii="Book Antiqua" w:hAnsi="Book Antiqua" w:cs="Arial Hebrew"/>
          <w:b/>
          <w:bCs/>
        </w:rPr>
        <w:t>Holdrege</w:t>
      </w:r>
      <w:r w:rsidR="0030732D">
        <w:rPr>
          <w:rFonts w:ascii="Book Antiqua" w:hAnsi="Book Antiqua" w:cs="Arial Hebrew"/>
          <w:b/>
          <w:bCs/>
        </w:rPr>
        <w:t xml:space="preserve"> urban area.</w:t>
      </w:r>
    </w:p>
    <w:p w14:paraId="332A3D79" w14:textId="77777777" w:rsidR="004D6D3A" w:rsidRPr="005B5C8F" w:rsidRDefault="004D6D3A" w:rsidP="004D6D3A">
      <w:pPr>
        <w:jc w:val="both"/>
        <w:rPr>
          <w:rFonts w:ascii="Book Antiqua" w:eastAsia="Calibri" w:hAnsi="Book Antiqua"/>
          <w:b/>
          <w:bCs/>
          <w:i/>
          <w:iCs/>
          <w:sz w:val="22"/>
          <w:szCs w:val="22"/>
        </w:rPr>
      </w:pPr>
      <w:r w:rsidRPr="00FB3BAB">
        <w:rPr>
          <w:rFonts w:ascii="Book Antiqua" w:eastAsia="Calibri" w:hAnsi="Book Antiqua"/>
          <w:b/>
          <w:bCs/>
          <w:i/>
          <w:iCs/>
          <w:sz w:val="22"/>
          <w:szCs w:val="22"/>
        </w:rPr>
        <w:t>To conclude,</w:t>
      </w:r>
      <w:r>
        <w:rPr>
          <w:rFonts w:ascii="Book Antiqua" w:eastAsia="Calibri" w:hAnsi="Book Antiqua"/>
          <w:b/>
          <w:bCs/>
          <w:i/>
          <w:iCs/>
          <w:sz w:val="22"/>
          <w:szCs w:val="22"/>
        </w:rPr>
        <w:t xml:space="preserve"> daily rates of COVID-19 in Holdrege city and urban area remain low, especially across residents aged 60 years or more. ICU availability</w:t>
      </w:r>
      <w:r w:rsidRPr="00ED24D4">
        <w:rPr>
          <w:rFonts w:ascii="Book Antiqua" w:eastAsia="Calibri" w:hAnsi="Book Antiqua"/>
          <w:b/>
          <w:bCs/>
          <w:i/>
          <w:iCs/>
          <w:sz w:val="22"/>
          <w:szCs w:val="22"/>
        </w:rPr>
        <w:t xml:space="preserve"> </w:t>
      </w:r>
      <w:r>
        <w:rPr>
          <w:rFonts w:ascii="Book Antiqua" w:eastAsia="Calibri" w:hAnsi="Book Antiqua"/>
          <w:b/>
          <w:bCs/>
          <w:i/>
          <w:iCs/>
          <w:sz w:val="22"/>
          <w:szCs w:val="22"/>
        </w:rPr>
        <w:t xml:space="preserve">and COVID-related medical/surgical bed usage are within safe levels across hospitals in Two Rivers district. </w:t>
      </w:r>
      <w:r w:rsidRPr="00142266">
        <w:rPr>
          <w:rFonts w:ascii="Book Antiqua" w:eastAsia="Calibri" w:hAnsi="Book Antiqua"/>
          <w:b/>
          <w:bCs/>
          <w:i/>
          <w:iCs/>
          <w:sz w:val="22"/>
          <w:szCs w:val="22"/>
        </w:rPr>
        <w:t>COVID-19 vaccination has been successfully rolled out across the district since December. About 1.7% of all eligible people (aged 16 years and over) in TRPHD have received at least one dose of vaccine. Those eligible are advised to contact their physician or Two Rivers Health Department</w:t>
      </w:r>
      <w:r>
        <w:rPr>
          <w:rFonts w:ascii="Book Antiqua" w:eastAsia="Calibri" w:hAnsi="Book Antiqua"/>
          <w:b/>
          <w:bCs/>
          <w:i/>
          <w:iCs/>
          <w:sz w:val="22"/>
          <w:szCs w:val="22"/>
        </w:rPr>
        <w:t xml:space="preserve"> for details about registration</w:t>
      </w:r>
      <w:r w:rsidRPr="00142266">
        <w:rPr>
          <w:rFonts w:ascii="Book Antiqua" w:eastAsia="Calibri" w:hAnsi="Book Antiqua"/>
          <w:b/>
          <w:bCs/>
          <w:i/>
          <w:iCs/>
          <w:sz w:val="22"/>
          <w:szCs w:val="22"/>
        </w:rPr>
        <w:t xml:space="preserve">. In the meantime, however, residents are advised to </w:t>
      </w:r>
      <w:r>
        <w:rPr>
          <w:rFonts w:ascii="Book Antiqua" w:eastAsia="Calibri" w:hAnsi="Book Antiqua"/>
          <w:b/>
          <w:bCs/>
          <w:i/>
          <w:iCs/>
          <w:sz w:val="22"/>
          <w:szCs w:val="22"/>
        </w:rPr>
        <w:t>continue to</w:t>
      </w:r>
      <w:r w:rsidRPr="00FB3BAB">
        <w:rPr>
          <w:rFonts w:ascii="Book Antiqua" w:eastAsia="Calibri" w:hAnsi="Book Antiqua"/>
          <w:b/>
          <w:bCs/>
          <w:i/>
          <w:iCs/>
          <w:sz w:val="22"/>
          <w:szCs w:val="22"/>
        </w:rPr>
        <w:t xml:space="preserve"> adhere to strict preventive measures (social distancing, correct and consistent masking) at all times to protect themselves</w:t>
      </w:r>
      <w:r>
        <w:rPr>
          <w:rFonts w:ascii="Book Antiqua" w:eastAsia="Calibri" w:hAnsi="Book Antiqua"/>
          <w:b/>
          <w:bCs/>
          <w:i/>
          <w:iCs/>
          <w:sz w:val="22"/>
          <w:szCs w:val="22"/>
        </w:rPr>
        <w:t xml:space="preserve"> and others.</w:t>
      </w:r>
    </w:p>
    <w:p w14:paraId="135563B5" w14:textId="37A98751" w:rsidR="00416676" w:rsidRDefault="00416676" w:rsidP="001F430B">
      <w:pPr>
        <w:spacing w:after="160" w:line="259" w:lineRule="auto"/>
        <w:jc w:val="both"/>
        <w:rPr>
          <w:rFonts w:ascii="Book Antiqua" w:eastAsiaTheme="minorHAnsi" w:hAnsi="Book Antiqua" w:cs="Arial Hebrew"/>
          <w:sz w:val="22"/>
          <w:szCs w:val="22"/>
        </w:rPr>
      </w:pPr>
      <w:r>
        <w:rPr>
          <w:rFonts w:ascii="Book Antiqua" w:hAnsi="Book Antiqua" w:cs="Arial Hebrew"/>
        </w:rPr>
        <w:br w:type="page"/>
      </w:r>
    </w:p>
    <w:p w14:paraId="575AE198" w14:textId="71DB6E77" w:rsidR="00284D13" w:rsidRPr="00A82339" w:rsidRDefault="006A26E7" w:rsidP="0040758D">
      <w:pPr>
        <w:pStyle w:val="ListParagraph"/>
        <w:numPr>
          <w:ilvl w:val="0"/>
          <w:numId w:val="22"/>
        </w:numPr>
        <w:jc w:val="both"/>
        <w:rPr>
          <w:rFonts w:ascii="Book Antiqua" w:hAnsi="Book Antiqua" w:cs="Arial Hebrew"/>
        </w:rPr>
      </w:pPr>
      <w:r w:rsidRPr="00C72A67">
        <w:rPr>
          <w:rFonts w:ascii="Book Antiqua" w:hAnsi="Book Antiqua" w:cs="Arial Hebrew"/>
        </w:rPr>
        <w:lastRenderedPageBreak/>
        <w:t>The graph below describe</w:t>
      </w:r>
      <w:r w:rsidR="00C72A67">
        <w:rPr>
          <w:rFonts w:ascii="Book Antiqua" w:hAnsi="Book Antiqua" w:cs="Arial Hebrew"/>
        </w:rPr>
        <w:t>s</w:t>
      </w:r>
      <w:r w:rsidRPr="00C72A67">
        <w:rPr>
          <w:rFonts w:ascii="Book Antiqua" w:hAnsi="Book Antiqua" w:cs="Arial Hebrew"/>
        </w:rPr>
        <w:t xml:space="preserve"> </w:t>
      </w:r>
      <w:r w:rsidR="00157010">
        <w:rPr>
          <w:rFonts w:ascii="Book Antiqua" w:hAnsi="Book Antiqua" w:cs="Arial Hebrew"/>
        </w:rPr>
        <w:t xml:space="preserve">daily </w:t>
      </w:r>
      <w:r w:rsidRPr="00C72A67">
        <w:rPr>
          <w:rFonts w:ascii="Book Antiqua" w:hAnsi="Book Antiqua" w:cs="Arial Hebrew"/>
        </w:rPr>
        <w:t xml:space="preserve">COVID-19 </w:t>
      </w:r>
      <w:r w:rsidR="00C72A67">
        <w:rPr>
          <w:rFonts w:ascii="Book Antiqua" w:hAnsi="Book Antiqua" w:cs="Arial Hebrew"/>
        </w:rPr>
        <w:t xml:space="preserve">cases </w:t>
      </w:r>
      <w:r w:rsidRPr="00C72A67">
        <w:rPr>
          <w:rFonts w:ascii="Book Antiqua" w:hAnsi="Book Antiqua" w:cs="Arial Hebrew"/>
        </w:rPr>
        <w:t xml:space="preserve">in TRPHD from </w:t>
      </w:r>
      <w:r w:rsidRPr="00C72A67">
        <w:rPr>
          <w:rFonts w:ascii="Book Antiqua" w:hAnsi="Book Antiqua" w:cs="Arial Hebrew"/>
          <w:b/>
          <w:bCs/>
        </w:rPr>
        <w:t xml:space="preserve">April 1 – </w:t>
      </w:r>
      <w:r w:rsidR="00416676">
        <w:rPr>
          <w:rFonts w:ascii="Book Antiqua" w:hAnsi="Book Antiqua" w:cs="Arial Hebrew"/>
          <w:b/>
          <w:bCs/>
        </w:rPr>
        <w:t xml:space="preserve">January </w:t>
      </w:r>
      <w:r w:rsidR="00A82339">
        <w:rPr>
          <w:rFonts w:ascii="Book Antiqua" w:hAnsi="Book Antiqua" w:cs="Arial Hebrew"/>
          <w:b/>
          <w:bCs/>
        </w:rPr>
        <w:t>26</w:t>
      </w:r>
      <w:r w:rsidR="002F0E92">
        <w:rPr>
          <w:rFonts w:ascii="Book Antiqua" w:hAnsi="Book Antiqua" w:cs="Arial Hebrew"/>
          <w:b/>
          <w:bCs/>
        </w:rPr>
        <w:t xml:space="preserve"> </w:t>
      </w:r>
      <w:r w:rsidR="001B26BF">
        <w:rPr>
          <w:rFonts w:ascii="Book Antiqua" w:hAnsi="Book Antiqua" w:cs="Arial Hebrew"/>
        </w:rPr>
        <w:t xml:space="preserve">broken down </w:t>
      </w:r>
      <w:r w:rsidR="00FD12EA" w:rsidRPr="001B26BF">
        <w:rPr>
          <w:rFonts w:ascii="Book Antiqua" w:hAnsi="Book Antiqua" w:cs="Arial Hebrew"/>
        </w:rPr>
        <w:t xml:space="preserve">by </w:t>
      </w:r>
      <w:r w:rsidR="00FD12EA" w:rsidRPr="00A57986">
        <w:rPr>
          <w:rFonts w:ascii="Book Antiqua" w:hAnsi="Book Antiqua" w:cs="Arial Hebrew"/>
          <w:b/>
          <w:bCs/>
          <w:u w:val="single"/>
        </w:rPr>
        <w:t>urban area</w:t>
      </w:r>
      <w:r w:rsidR="00FD12EA" w:rsidRPr="001B26BF">
        <w:rPr>
          <w:rFonts w:ascii="Book Antiqua" w:hAnsi="Book Antiqua" w:cs="Arial Hebrew"/>
        </w:rPr>
        <w:t xml:space="preserve"> (Holdrege, </w:t>
      </w:r>
      <w:r w:rsidR="00FD12EA" w:rsidRPr="00447601">
        <w:rPr>
          <w:rFonts w:ascii="Book Antiqua" w:hAnsi="Book Antiqua" w:cs="Arial Hebrew"/>
        </w:rPr>
        <w:t>Lexington</w:t>
      </w:r>
      <w:r w:rsidR="00FD12EA" w:rsidRPr="001B26BF">
        <w:rPr>
          <w:rFonts w:ascii="Book Antiqua" w:hAnsi="Book Antiqua" w:cs="Arial Hebrew"/>
        </w:rPr>
        <w:t xml:space="preserve">, </w:t>
      </w:r>
      <w:r w:rsidR="00FD12EA" w:rsidRPr="00447601">
        <w:rPr>
          <w:rFonts w:ascii="Book Antiqua" w:hAnsi="Book Antiqua" w:cs="Arial Hebrew"/>
          <w:b/>
          <w:bCs/>
        </w:rPr>
        <w:t>Kearney</w:t>
      </w:r>
      <w:r w:rsidR="00FD12EA" w:rsidRPr="001B26BF">
        <w:rPr>
          <w:rFonts w:ascii="Book Antiqua" w:hAnsi="Book Antiqua" w:cs="Arial Hebrew"/>
        </w:rPr>
        <w:t xml:space="preserve"> and all others)</w:t>
      </w:r>
      <w:r w:rsidR="003E39BB">
        <w:rPr>
          <w:rFonts w:ascii="Book Antiqua" w:hAnsi="Book Antiqua" w:cs="Arial Hebrew"/>
        </w:rPr>
        <w:t xml:space="preserve">. </w:t>
      </w:r>
      <w:r w:rsidR="003E39BB">
        <w:rPr>
          <w:rFonts w:ascii="Book Antiqua" w:eastAsia="Calibri" w:hAnsi="Book Antiqua"/>
        </w:rPr>
        <w:t xml:space="preserve">The height of the graph corresponds to the daily case count and the thickness of each colored band corresponds to </w:t>
      </w:r>
      <w:r w:rsidR="003A68B8">
        <w:rPr>
          <w:rFonts w:ascii="Book Antiqua" w:eastAsia="Calibri" w:hAnsi="Book Antiqua"/>
        </w:rPr>
        <w:t>the</w:t>
      </w:r>
      <w:r w:rsidR="003E39BB">
        <w:rPr>
          <w:rFonts w:ascii="Book Antiqua" w:eastAsia="Calibri" w:hAnsi="Book Antiqua"/>
        </w:rPr>
        <w:t xml:space="preserve"> </w:t>
      </w:r>
      <w:r w:rsidR="007F1377">
        <w:rPr>
          <w:rFonts w:ascii="Book Antiqua" w:eastAsia="Calibri" w:hAnsi="Book Antiqua"/>
        </w:rPr>
        <w:t>urban area</w:t>
      </w:r>
      <w:r w:rsidR="00751B87">
        <w:rPr>
          <w:rFonts w:ascii="Book Antiqua" w:eastAsia="Calibri" w:hAnsi="Book Antiqua"/>
        </w:rPr>
        <w:t>’s contribution</w:t>
      </w:r>
      <w:r w:rsidR="007F1377">
        <w:rPr>
          <w:rFonts w:ascii="Book Antiqua" w:eastAsia="Calibri" w:hAnsi="Book Antiqua"/>
        </w:rPr>
        <w:t xml:space="preserve">. </w:t>
      </w:r>
    </w:p>
    <w:p w14:paraId="0A29CB36" w14:textId="154A8C52" w:rsidR="00A82339" w:rsidRPr="00A82339" w:rsidRDefault="00A82339" w:rsidP="00A82339">
      <w:pPr>
        <w:pStyle w:val="ListParagraph"/>
        <w:numPr>
          <w:ilvl w:val="0"/>
          <w:numId w:val="22"/>
        </w:numPr>
        <w:jc w:val="both"/>
        <w:rPr>
          <w:rFonts w:ascii="Book Antiqua" w:hAnsi="Book Antiqua" w:cs="Arial Hebrew"/>
        </w:rPr>
      </w:pPr>
      <w:r w:rsidRPr="00D27EF1">
        <w:rPr>
          <w:rFonts w:ascii="Book Antiqua" w:hAnsi="Book Antiqua" w:cs="Arial Hebrew"/>
        </w:rPr>
        <w:t>The second graph describes the 7-day rolling average</w:t>
      </w:r>
      <w:r>
        <w:rPr>
          <w:rFonts w:ascii="Book Antiqua" w:hAnsi="Book Antiqua" w:cs="Arial Hebrew"/>
        </w:rPr>
        <w:t xml:space="preserve"> </w:t>
      </w:r>
      <w:r w:rsidRPr="00D27EF1">
        <w:rPr>
          <w:rFonts w:ascii="Book Antiqua" w:hAnsi="Book Antiqua" w:cs="Arial Hebrew"/>
        </w:rPr>
        <w:t xml:space="preserve">of COVID-19 cases in </w:t>
      </w:r>
      <w:r w:rsidRPr="00D27EF1">
        <w:rPr>
          <w:rFonts w:ascii="Book Antiqua" w:hAnsi="Book Antiqua" w:cs="Arial Hebrew"/>
          <w:b/>
          <w:bCs/>
        </w:rPr>
        <w:t xml:space="preserve">Lexington, Kearney </w:t>
      </w:r>
      <w:r w:rsidRPr="00D27EF1">
        <w:rPr>
          <w:rFonts w:ascii="Book Antiqua" w:hAnsi="Book Antiqua" w:cs="Arial Hebrew"/>
        </w:rPr>
        <w:t>and</w:t>
      </w:r>
      <w:r w:rsidRPr="00D27EF1">
        <w:rPr>
          <w:rFonts w:ascii="Book Antiqua" w:hAnsi="Book Antiqua" w:cs="Arial Hebrew"/>
          <w:b/>
          <w:bCs/>
        </w:rPr>
        <w:t xml:space="preserve"> Holdrege </w:t>
      </w:r>
      <w:r w:rsidRPr="008D7132">
        <w:rPr>
          <w:rFonts w:ascii="Book Antiqua" w:hAnsi="Book Antiqua" w:cs="Arial Hebrew"/>
          <w:b/>
          <w:bCs/>
        </w:rPr>
        <w:t>cities</w:t>
      </w:r>
      <w:r w:rsidRPr="00D27EF1">
        <w:rPr>
          <w:rFonts w:ascii="Book Antiqua" w:hAnsi="Book Antiqua" w:cs="Arial Hebrew"/>
        </w:rPr>
        <w:t xml:space="preserve"> from </w:t>
      </w:r>
      <w:r w:rsidRPr="00D27EF1">
        <w:rPr>
          <w:rFonts w:ascii="Book Antiqua" w:hAnsi="Book Antiqua" w:cs="Arial Hebrew"/>
          <w:b/>
          <w:bCs/>
        </w:rPr>
        <w:t xml:space="preserve">April 1- </w:t>
      </w:r>
      <w:r>
        <w:rPr>
          <w:rFonts w:ascii="Book Antiqua" w:hAnsi="Book Antiqua" w:cs="Arial Hebrew"/>
          <w:b/>
          <w:bCs/>
        </w:rPr>
        <w:t>January 26</w:t>
      </w:r>
      <w:r w:rsidRPr="00D27EF1">
        <w:rPr>
          <w:rFonts w:ascii="Book Antiqua" w:hAnsi="Book Antiqua" w:cs="Arial Hebrew"/>
        </w:rPr>
        <w:t xml:space="preserve">. </w:t>
      </w:r>
    </w:p>
    <w:p w14:paraId="4F2D449C" w14:textId="563C719C" w:rsidR="007F1377" w:rsidRDefault="00A82339" w:rsidP="00B85815">
      <w:pPr>
        <w:rPr>
          <w:rFonts w:ascii="Book Antiqua" w:hAnsi="Book Antiqua" w:cs="Arial Hebrew"/>
        </w:rPr>
      </w:pPr>
      <w:r>
        <w:rPr>
          <w:noProof/>
        </w:rPr>
        <w:drawing>
          <wp:inline distT="0" distB="0" distL="0" distR="0" wp14:anchorId="67DF46C2" wp14:editId="2266D894">
            <wp:extent cx="5943600" cy="2971800"/>
            <wp:effectExtent l="0" t="0" r="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8"/>
                    <a:stretch>
                      <a:fillRect/>
                    </a:stretch>
                  </pic:blipFill>
                  <pic:spPr>
                    <a:xfrm>
                      <a:off x="0" y="0"/>
                      <a:ext cx="5943600" cy="2971800"/>
                    </a:xfrm>
                    <a:prstGeom prst="rect">
                      <a:avLst/>
                    </a:prstGeom>
                  </pic:spPr>
                </pic:pic>
              </a:graphicData>
            </a:graphic>
          </wp:inline>
        </w:drawing>
      </w:r>
    </w:p>
    <w:p w14:paraId="5358EABF" w14:textId="61430D58" w:rsidR="007B01B2" w:rsidRDefault="00A82339" w:rsidP="00A82339">
      <w:pPr>
        <w:spacing w:after="160" w:line="259" w:lineRule="auto"/>
        <w:jc w:val="both"/>
        <w:rPr>
          <w:rFonts w:ascii="Book Antiqua" w:hAnsi="Book Antiqua" w:cs="Arial Hebrew"/>
        </w:rPr>
      </w:pPr>
      <w:r>
        <w:rPr>
          <w:noProof/>
        </w:rPr>
        <w:drawing>
          <wp:inline distT="0" distB="0" distL="0" distR="0" wp14:anchorId="72316B0D" wp14:editId="4B7D171E">
            <wp:extent cx="5207000" cy="333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9790" cy="3345724"/>
                    </a:xfrm>
                    <a:prstGeom prst="rect">
                      <a:avLst/>
                    </a:prstGeom>
                  </pic:spPr>
                </pic:pic>
              </a:graphicData>
            </a:graphic>
          </wp:inline>
        </w:drawing>
      </w:r>
    </w:p>
    <w:p w14:paraId="34C9B299" w14:textId="77777777" w:rsidR="0040758D" w:rsidRPr="008D7132" w:rsidRDefault="0040758D" w:rsidP="0040758D">
      <w:pPr>
        <w:rPr>
          <w:rFonts w:ascii="Book Antiqua" w:hAnsi="Book Antiqua" w:cs="Arial Hebrew"/>
        </w:rPr>
      </w:pPr>
    </w:p>
    <w:p w14:paraId="1E34335D" w14:textId="6E761BCA" w:rsidR="0094508D" w:rsidRPr="00A17F16" w:rsidRDefault="00FF6E92" w:rsidP="00A17F16">
      <w:pPr>
        <w:pStyle w:val="ListParagraph"/>
        <w:numPr>
          <w:ilvl w:val="0"/>
          <w:numId w:val="22"/>
        </w:numPr>
        <w:rPr>
          <w:rFonts w:ascii="Book Antiqua" w:hAnsi="Book Antiqua" w:cs="Arial Hebrew"/>
        </w:rPr>
      </w:pPr>
      <w:r w:rsidRPr="00A17F16">
        <w:rPr>
          <w:rFonts w:ascii="Book Antiqua" w:hAnsi="Book Antiqua" w:cs="Arial Hebrew"/>
        </w:rPr>
        <w:t xml:space="preserve">The graph below shows COVID-19 cases in </w:t>
      </w:r>
      <w:r w:rsidR="00F63EAC">
        <w:rPr>
          <w:rFonts w:ascii="Book Antiqua" w:hAnsi="Book Antiqua" w:cs="Arial Hebrew"/>
          <w:b/>
          <w:bCs/>
        </w:rPr>
        <w:t>Holdrege</w:t>
      </w:r>
      <w:r w:rsidRPr="00A17F16">
        <w:rPr>
          <w:rFonts w:ascii="Book Antiqua" w:hAnsi="Book Antiqua" w:cs="Arial Hebrew"/>
        </w:rPr>
        <w:t xml:space="preserve"> area from </w:t>
      </w:r>
      <w:r w:rsidR="00D723F1" w:rsidRPr="00A17F16">
        <w:rPr>
          <w:rFonts w:ascii="Book Antiqua" w:hAnsi="Book Antiqua" w:cs="Arial Hebrew"/>
          <w:b/>
          <w:bCs/>
        </w:rPr>
        <w:t xml:space="preserve">July 1 – </w:t>
      </w:r>
      <w:r w:rsidR="001601B9">
        <w:rPr>
          <w:rFonts w:ascii="Book Antiqua" w:hAnsi="Book Antiqua" w:cs="Arial Hebrew"/>
          <w:b/>
          <w:bCs/>
        </w:rPr>
        <w:t xml:space="preserve">January </w:t>
      </w:r>
      <w:r w:rsidR="00A82339">
        <w:rPr>
          <w:rFonts w:ascii="Book Antiqua" w:hAnsi="Book Antiqua" w:cs="Arial Hebrew"/>
          <w:b/>
          <w:bCs/>
        </w:rPr>
        <w:t>26</w:t>
      </w:r>
      <w:r w:rsidRPr="00A17F16">
        <w:rPr>
          <w:rFonts w:ascii="Book Antiqua" w:hAnsi="Book Antiqua" w:cs="Arial Hebrew"/>
        </w:rPr>
        <w:t xml:space="preserve">, describing </w:t>
      </w:r>
      <w:r w:rsidR="00EA3EDC" w:rsidRPr="00A17F16">
        <w:rPr>
          <w:rFonts w:ascii="Book Antiqua" w:hAnsi="Book Antiqua" w:cs="Arial Hebrew"/>
        </w:rPr>
        <w:t>positive</w:t>
      </w:r>
      <w:r w:rsidRPr="00A17F16">
        <w:rPr>
          <w:rFonts w:ascii="Book Antiqua" w:hAnsi="Book Antiqua" w:cs="Arial Hebrew"/>
        </w:rPr>
        <w:t xml:space="preserve"> cases by city.</w:t>
      </w:r>
      <w:r w:rsidR="007B309A" w:rsidRPr="00A17F16">
        <w:rPr>
          <w:rFonts w:ascii="Book Antiqua" w:hAnsi="Book Antiqua" w:cs="Arial Hebrew"/>
        </w:rPr>
        <w:t xml:space="preserve"> </w:t>
      </w:r>
      <w:r w:rsidR="007B309A" w:rsidRPr="00A17F16">
        <w:rPr>
          <w:rFonts w:ascii="Book Antiqua" w:eastAsia="Calibri" w:hAnsi="Book Antiqua"/>
        </w:rPr>
        <w:t>The height of the graph corresponds to the daily case count and the thickness of each colored band corresponds to a city’s contribution.</w:t>
      </w:r>
    </w:p>
    <w:p w14:paraId="19BAC3A8" w14:textId="14703FE0" w:rsidR="00991EC1" w:rsidRPr="0013071D" w:rsidRDefault="00FF6E92" w:rsidP="00EB4583">
      <w:pPr>
        <w:pStyle w:val="ListParagraph"/>
        <w:numPr>
          <w:ilvl w:val="0"/>
          <w:numId w:val="18"/>
        </w:numPr>
        <w:jc w:val="both"/>
        <w:rPr>
          <w:rFonts w:ascii="Book Antiqua" w:hAnsi="Book Antiqua" w:cs="Arial Hebrew"/>
        </w:rPr>
      </w:pPr>
      <w:r>
        <w:rPr>
          <w:rFonts w:ascii="Book Antiqua" w:hAnsi="Book Antiqua" w:cs="Arial Hebrew"/>
        </w:rPr>
        <w:t>The second graph describes cases</w:t>
      </w:r>
      <w:r w:rsidR="00D723F1">
        <w:rPr>
          <w:rFonts w:ascii="Book Antiqua" w:hAnsi="Book Antiqua" w:cs="Arial Hebrew"/>
        </w:rPr>
        <w:t xml:space="preserve"> </w:t>
      </w:r>
      <w:r>
        <w:rPr>
          <w:rFonts w:ascii="Book Antiqua" w:hAnsi="Book Antiqua" w:cs="Arial Hebrew"/>
        </w:rPr>
        <w:t>by age during the same period</w:t>
      </w:r>
      <w:r w:rsidR="00460829">
        <w:rPr>
          <w:rFonts w:ascii="Book Antiqua" w:hAnsi="Book Antiqua" w:cs="Arial Hebrew"/>
        </w:rPr>
        <w:t xml:space="preserve"> in the </w:t>
      </w:r>
      <w:r w:rsidR="009E1C54">
        <w:rPr>
          <w:rFonts w:ascii="Book Antiqua" w:hAnsi="Book Antiqua" w:cs="Arial Hebrew"/>
          <w:b/>
          <w:bCs/>
        </w:rPr>
        <w:t>Lexington</w:t>
      </w:r>
      <w:r w:rsidR="00E1010D" w:rsidRPr="00A17F16">
        <w:rPr>
          <w:rFonts w:ascii="Book Antiqua" w:hAnsi="Book Antiqua" w:cs="Arial Hebrew"/>
        </w:rPr>
        <w:t xml:space="preserve"> </w:t>
      </w:r>
      <w:r w:rsidR="00460829">
        <w:rPr>
          <w:rFonts w:ascii="Book Antiqua" w:hAnsi="Book Antiqua" w:cs="Arial Hebrew"/>
        </w:rPr>
        <w:t>area</w:t>
      </w:r>
      <w:r>
        <w:rPr>
          <w:rFonts w:ascii="Book Antiqua" w:hAnsi="Book Antiqua" w:cs="Arial Hebrew"/>
        </w:rPr>
        <w:t>.</w:t>
      </w:r>
      <w:r w:rsidR="00F5750B">
        <w:rPr>
          <w:rFonts w:ascii="Book Antiqua" w:hAnsi="Book Antiqua" w:cs="Arial Hebrew"/>
        </w:rPr>
        <w:t xml:space="preserve"> </w:t>
      </w:r>
      <w:r w:rsidR="00F5750B" w:rsidRPr="00A17F16">
        <w:rPr>
          <w:rFonts w:ascii="Book Antiqua" w:eastAsia="Calibri" w:hAnsi="Book Antiqua"/>
        </w:rPr>
        <w:t xml:space="preserve">The height of the graph corresponds to the daily case count and the thickness of each colored band corresponds to </w:t>
      </w:r>
      <w:r w:rsidR="00F5750B">
        <w:rPr>
          <w:rFonts w:ascii="Book Antiqua" w:eastAsia="Calibri" w:hAnsi="Book Antiqua"/>
        </w:rPr>
        <w:t>each age group</w:t>
      </w:r>
      <w:r w:rsidR="00F5750B" w:rsidRPr="00A17F16">
        <w:rPr>
          <w:rFonts w:ascii="Book Antiqua" w:eastAsia="Calibri" w:hAnsi="Book Antiqua"/>
        </w:rPr>
        <w:t>.</w:t>
      </w:r>
    </w:p>
    <w:p w14:paraId="1F06F244" w14:textId="33EB778D" w:rsidR="005C4E44" w:rsidRPr="0013071D" w:rsidRDefault="00F63EAC" w:rsidP="005C4E44">
      <w:r>
        <w:rPr>
          <w:noProof/>
        </w:rPr>
        <w:drawing>
          <wp:inline distT="0" distB="0" distL="0" distR="0" wp14:anchorId="6B563E9A" wp14:editId="231EFCB0">
            <wp:extent cx="6079066" cy="3039533"/>
            <wp:effectExtent l="0" t="0" r="4445" b="0"/>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pic:nvPicPr>
                  <pic:blipFill>
                    <a:blip r:embed="rId10"/>
                    <a:stretch>
                      <a:fillRect/>
                    </a:stretch>
                  </pic:blipFill>
                  <pic:spPr>
                    <a:xfrm>
                      <a:off x="0" y="0"/>
                      <a:ext cx="6080342" cy="3040171"/>
                    </a:xfrm>
                    <a:prstGeom prst="rect">
                      <a:avLst/>
                    </a:prstGeom>
                  </pic:spPr>
                </pic:pic>
              </a:graphicData>
            </a:graphic>
          </wp:inline>
        </w:drawing>
      </w:r>
    </w:p>
    <w:p w14:paraId="05A54F3A" w14:textId="14BE3D0F" w:rsidR="009425B9" w:rsidRDefault="00F63EAC" w:rsidP="00F63EAC">
      <w:pPr>
        <w:rPr>
          <w:rFonts w:ascii="Book Antiqua" w:hAnsi="Book Antiqua" w:cs="Arial Hebrew"/>
          <w:b/>
          <w:bCs/>
          <w:sz w:val="22"/>
          <w:szCs w:val="22"/>
          <w:u w:val="single"/>
        </w:rPr>
      </w:pPr>
      <w:r>
        <w:rPr>
          <w:noProof/>
        </w:rPr>
        <w:drawing>
          <wp:inline distT="0" distB="0" distL="0" distR="0" wp14:anchorId="61391CBF" wp14:editId="46BB9BE1">
            <wp:extent cx="6079068" cy="3039534"/>
            <wp:effectExtent l="0" t="0" r="4445"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1"/>
                    <a:stretch>
                      <a:fillRect/>
                    </a:stretch>
                  </pic:blipFill>
                  <pic:spPr>
                    <a:xfrm>
                      <a:off x="0" y="0"/>
                      <a:ext cx="6080772" cy="3040386"/>
                    </a:xfrm>
                    <a:prstGeom prst="rect">
                      <a:avLst/>
                    </a:prstGeom>
                  </pic:spPr>
                </pic:pic>
              </a:graphicData>
            </a:graphic>
          </wp:inline>
        </w:drawing>
      </w:r>
    </w:p>
    <w:p w14:paraId="56FCE7FB" w14:textId="19C6D173" w:rsidR="0029181D" w:rsidRDefault="0029181D" w:rsidP="0029181D">
      <w:pPr>
        <w:pStyle w:val="ListParagraph"/>
        <w:numPr>
          <w:ilvl w:val="0"/>
          <w:numId w:val="19"/>
        </w:numPr>
        <w:jc w:val="both"/>
        <w:rPr>
          <w:rFonts w:ascii="Book Antiqua" w:hAnsi="Book Antiqua" w:cs="Arial Hebrew"/>
        </w:rPr>
      </w:pPr>
      <w:r>
        <w:rPr>
          <w:rFonts w:ascii="Book Antiqua" w:hAnsi="Book Antiqua" w:cs="Arial Hebrew"/>
        </w:rPr>
        <w:lastRenderedPageBreak/>
        <w:t xml:space="preserve">The graph below shows COVID-19 cases across </w:t>
      </w:r>
      <w:r w:rsidR="00906363">
        <w:rPr>
          <w:rFonts w:ascii="Book Antiqua" w:hAnsi="Book Antiqua" w:cs="Arial Hebrew"/>
        </w:rPr>
        <w:t>7</w:t>
      </w:r>
      <w:r>
        <w:rPr>
          <w:rFonts w:ascii="Book Antiqua" w:hAnsi="Book Antiqua" w:cs="Arial Hebrew"/>
        </w:rPr>
        <w:t xml:space="preserve"> cities in </w:t>
      </w:r>
      <w:r w:rsidRPr="009E291A">
        <w:rPr>
          <w:rFonts w:ascii="Book Antiqua" w:hAnsi="Book Antiqua" w:cs="Arial Hebrew"/>
          <w:b/>
          <w:bCs/>
        </w:rPr>
        <w:t>Franklin, Gosper, Kearney and Phelps</w:t>
      </w:r>
      <w:r>
        <w:rPr>
          <w:rFonts w:ascii="Book Antiqua" w:hAnsi="Book Antiqua" w:cs="Arial Hebrew"/>
        </w:rPr>
        <w:t xml:space="preserve"> counties from </w:t>
      </w:r>
      <w:r>
        <w:rPr>
          <w:rFonts w:ascii="Book Antiqua" w:hAnsi="Book Antiqua" w:cs="Arial Hebrew"/>
          <w:b/>
          <w:bCs/>
        </w:rPr>
        <w:t xml:space="preserve">Dec </w:t>
      </w:r>
      <w:r w:rsidR="0068380E">
        <w:rPr>
          <w:rFonts w:ascii="Book Antiqua" w:hAnsi="Book Antiqua" w:cs="Arial Hebrew"/>
          <w:b/>
          <w:bCs/>
        </w:rPr>
        <w:t>2</w:t>
      </w:r>
      <w:r w:rsidR="0026585A">
        <w:rPr>
          <w:rFonts w:ascii="Book Antiqua" w:hAnsi="Book Antiqua" w:cs="Arial Hebrew"/>
          <w:b/>
          <w:bCs/>
        </w:rPr>
        <w:t>9</w:t>
      </w:r>
      <w:r w:rsidRPr="00A62E40">
        <w:rPr>
          <w:rFonts w:ascii="Book Antiqua" w:hAnsi="Book Antiqua" w:cs="Arial Hebrew"/>
          <w:b/>
          <w:bCs/>
        </w:rPr>
        <w:t xml:space="preserve"> </w:t>
      </w:r>
      <w:r>
        <w:rPr>
          <w:rFonts w:ascii="Book Antiqua" w:hAnsi="Book Antiqua" w:cs="Arial Hebrew"/>
          <w:b/>
          <w:bCs/>
        </w:rPr>
        <w:t>–</w:t>
      </w:r>
      <w:r w:rsidRPr="00A62E40">
        <w:rPr>
          <w:rFonts w:ascii="Book Antiqua" w:hAnsi="Book Antiqua" w:cs="Arial Hebrew"/>
          <w:b/>
          <w:bCs/>
        </w:rPr>
        <w:t xml:space="preserve"> </w:t>
      </w:r>
      <w:r>
        <w:rPr>
          <w:rFonts w:ascii="Book Antiqua" w:hAnsi="Book Antiqua" w:cs="Arial Hebrew"/>
          <w:b/>
          <w:bCs/>
        </w:rPr>
        <w:t xml:space="preserve">Jan </w:t>
      </w:r>
      <w:r w:rsidR="0026585A">
        <w:rPr>
          <w:rFonts w:ascii="Book Antiqua" w:hAnsi="Book Antiqua" w:cs="Arial Hebrew"/>
          <w:b/>
          <w:bCs/>
        </w:rPr>
        <w:t>26</w:t>
      </w:r>
      <w:r>
        <w:rPr>
          <w:rFonts w:ascii="Book Antiqua" w:hAnsi="Book Antiqua" w:cs="Arial Hebrew"/>
          <w:b/>
          <w:bCs/>
        </w:rPr>
        <w:t>.</w:t>
      </w:r>
      <w:r>
        <w:rPr>
          <w:rFonts w:ascii="Book Antiqua" w:hAnsi="Book Antiqua" w:cs="Arial Hebrew"/>
        </w:rPr>
        <w:t xml:space="preserve"> </w:t>
      </w:r>
      <w:r>
        <w:rPr>
          <w:rFonts w:ascii="Book Antiqua" w:eastAsia="Calibri" w:hAnsi="Book Antiqua"/>
        </w:rPr>
        <w:t xml:space="preserve">The height of the bar corresponds to the daily case count and the thickness of each colored band corresponds to a city’s contribution. </w:t>
      </w:r>
    </w:p>
    <w:p w14:paraId="64DA796C" w14:textId="28D8BF32" w:rsidR="009425B9" w:rsidRDefault="0029181D" w:rsidP="0029181D">
      <w:pPr>
        <w:pStyle w:val="ListParagraph"/>
        <w:numPr>
          <w:ilvl w:val="0"/>
          <w:numId w:val="19"/>
        </w:numPr>
        <w:jc w:val="both"/>
        <w:rPr>
          <w:rFonts w:ascii="Book Antiqua" w:hAnsi="Book Antiqua" w:cs="Arial Hebrew"/>
        </w:rPr>
      </w:pPr>
      <w:r>
        <w:rPr>
          <w:rFonts w:ascii="Book Antiqua" w:hAnsi="Book Antiqua" w:cs="Arial Hebrew"/>
        </w:rPr>
        <w:t xml:space="preserve">The second graph describes cases per 10,000 residents in cities </w:t>
      </w:r>
      <w:r w:rsidR="00466D58">
        <w:rPr>
          <w:rFonts w:ascii="Book Antiqua" w:hAnsi="Book Antiqua" w:cs="Arial Hebrew"/>
        </w:rPr>
        <w:t>from</w:t>
      </w:r>
      <w:r>
        <w:rPr>
          <w:rFonts w:ascii="Book Antiqua" w:hAnsi="Book Antiqua" w:cs="Arial Hebrew"/>
        </w:rPr>
        <w:t xml:space="preserve"> these </w:t>
      </w:r>
      <w:r w:rsidR="00031079">
        <w:rPr>
          <w:rFonts w:ascii="Book Antiqua" w:hAnsi="Book Antiqua" w:cs="Arial Hebrew"/>
        </w:rPr>
        <w:t>counties</w:t>
      </w:r>
      <w:r>
        <w:rPr>
          <w:rFonts w:ascii="Book Antiqua" w:hAnsi="Book Antiqua" w:cs="Arial Hebrew"/>
        </w:rPr>
        <w:t xml:space="preserve"> during this time period. </w:t>
      </w:r>
      <w:r w:rsidR="00F63EAC">
        <w:rPr>
          <w:rFonts w:ascii="Book Antiqua" w:hAnsi="Book Antiqua" w:cs="Arial Hebrew"/>
          <w:b/>
          <w:bCs/>
        </w:rPr>
        <w:t xml:space="preserve">Holdrege </w:t>
      </w:r>
      <w:r w:rsidR="00F63EAC" w:rsidRPr="0029181D">
        <w:rPr>
          <w:rFonts w:ascii="Book Antiqua" w:hAnsi="Book Antiqua" w:cs="Arial Hebrew"/>
        </w:rPr>
        <w:t xml:space="preserve">is represented </w:t>
      </w:r>
      <w:r w:rsidR="00F63EAC">
        <w:rPr>
          <w:rFonts w:ascii="Book Antiqua" w:hAnsi="Book Antiqua" w:cs="Arial Hebrew"/>
        </w:rPr>
        <w:t xml:space="preserve">by the </w:t>
      </w:r>
      <w:r w:rsidR="00F63EAC">
        <w:rPr>
          <w:rFonts w:ascii="Book Antiqua" w:hAnsi="Book Antiqua" w:cs="Arial Hebrew"/>
        </w:rPr>
        <w:t>light green</w:t>
      </w:r>
      <w:r w:rsidR="00F63EAC">
        <w:rPr>
          <w:rFonts w:ascii="Book Antiqua" w:hAnsi="Book Antiqua" w:cs="Arial Hebrew"/>
        </w:rPr>
        <w:t xml:space="preserve"> line.</w:t>
      </w:r>
    </w:p>
    <w:p w14:paraId="784D061A" w14:textId="404B1972" w:rsidR="009E291A" w:rsidRPr="009E291A" w:rsidRDefault="00C701BC" w:rsidP="009E291A">
      <w:pPr>
        <w:rPr>
          <w:rFonts w:ascii="Book Antiqua" w:hAnsi="Book Antiqua" w:cs="Arial Hebrew"/>
        </w:rPr>
      </w:pPr>
      <w:r>
        <w:rPr>
          <w:noProof/>
        </w:rPr>
        <w:drawing>
          <wp:inline distT="0" distB="0" distL="0" distR="0" wp14:anchorId="1C1C1424" wp14:editId="0868AC11">
            <wp:extent cx="6383867" cy="3191934"/>
            <wp:effectExtent l="0" t="0" r="4445" b="0"/>
            <wp:docPr id="14"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ar chart&#10;&#10;Description automatically generated"/>
                    <pic:cNvPicPr/>
                  </pic:nvPicPr>
                  <pic:blipFill>
                    <a:blip r:embed="rId12"/>
                    <a:stretch>
                      <a:fillRect/>
                    </a:stretch>
                  </pic:blipFill>
                  <pic:spPr>
                    <a:xfrm>
                      <a:off x="0" y="0"/>
                      <a:ext cx="6386919" cy="3193460"/>
                    </a:xfrm>
                    <a:prstGeom prst="rect">
                      <a:avLst/>
                    </a:prstGeom>
                  </pic:spPr>
                </pic:pic>
              </a:graphicData>
            </a:graphic>
          </wp:inline>
        </w:drawing>
      </w:r>
    </w:p>
    <w:p w14:paraId="05F81C51" w14:textId="1BE9541F" w:rsidR="009425B9" w:rsidRDefault="00C701BC">
      <w:pPr>
        <w:spacing w:after="160" w:line="259" w:lineRule="auto"/>
        <w:rPr>
          <w:rFonts w:ascii="Book Antiqua" w:hAnsi="Book Antiqua" w:cs="Arial Hebrew"/>
          <w:b/>
          <w:bCs/>
          <w:sz w:val="22"/>
          <w:szCs w:val="22"/>
          <w:u w:val="single"/>
        </w:rPr>
      </w:pPr>
      <w:r>
        <w:rPr>
          <w:noProof/>
        </w:rPr>
        <w:drawing>
          <wp:inline distT="0" distB="0" distL="0" distR="0" wp14:anchorId="2792FB17" wp14:editId="7E703F9C">
            <wp:extent cx="6570132" cy="3285066"/>
            <wp:effectExtent l="0" t="0" r="0" b="4445"/>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pic:nvPicPr>
                  <pic:blipFill>
                    <a:blip r:embed="rId13"/>
                    <a:stretch>
                      <a:fillRect/>
                    </a:stretch>
                  </pic:blipFill>
                  <pic:spPr>
                    <a:xfrm>
                      <a:off x="0" y="0"/>
                      <a:ext cx="6570986" cy="3285493"/>
                    </a:xfrm>
                    <a:prstGeom prst="rect">
                      <a:avLst/>
                    </a:prstGeom>
                  </pic:spPr>
                </pic:pic>
              </a:graphicData>
            </a:graphic>
          </wp:inline>
        </w:drawing>
      </w:r>
    </w:p>
    <w:p w14:paraId="29213FA4" w14:textId="37384D3E" w:rsidR="0087600B" w:rsidRPr="00390189" w:rsidRDefault="001356AB" w:rsidP="003661D8">
      <w:pPr>
        <w:spacing w:after="160" w:line="259" w:lineRule="auto"/>
        <w:jc w:val="center"/>
        <w:rPr>
          <w:rFonts w:ascii="Book Antiqua" w:hAnsi="Book Antiqua" w:cs="Arial Hebrew"/>
          <w:b/>
          <w:bCs/>
          <w:sz w:val="22"/>
          <w:szCs w:val="22"/>
          <w:u w:val="single"/>
        </w:rPr>
      </w:pPr>
      <w:r w:rsidRPr="00390189">
        <w:rPr>
          <w:rFonts w:ascii="Book Antiqua" w:hAnsi="Book Antiqua" w:cs="Arial Hebrew"/>
          <w:b/>
          <w:bCs/>
          <w:sz w:val="22"/>
          <w:szCs w:val="22"/>
          <w:u w:val="single"/>
        </w:rPr>
        <w:lastRenderedPageBreak/>
        <w:t>Weekly Summary Report</w:t>
      </w:r>
    </w:p>
    <w:p w14:paraId="0F7DDFDC" w14:textId="319CFFCE" w:rsidR="00D27389" w:rsidRDefault="000E636E" w:rsidP="00EB4583">
      <w:pPr>
        <w:contextualSpacing/>
        <w:jc w:val="both"/>
        <w:rPr>
          <w:rFonts w:ascii="Book Antiqua" w:hAnsi="Book Antiqua" w:cs="Arial Hebrew"/>
          <w:sz w:val="22"/>
          <w:szCs w:val="22"/>
        </w:rPr>
      </w:pPr>
      <w:r>
        <w:rPr>
          <w:rFonts w:ascii="Book Antiqua" w:hAnsi="Book Antiqua" w:cs="Arial Hebrew"/>
          <w:sz w:val="22"/>
          <w:szCs w:val="22"/>
        </w:rPr>
        <w:t xml:space="preserve">Viewing the graphs from </w:t>
      </w:r>
      <w:r w:rsidRPr="0000070D">
        <w:rPr>
          <w:rFonts w:ascii="Book Antiqua" w:hAnsi="Book Antiqua" w:cs="Arial Hebrew"/>
          <w:b/>
          <w:bCs/>
          <w:sz w:val="22"/>
          <w:szCs w:val="22"/>
        </w:rPr>
        <w:t xml:space="preserve">April – </w:t>
      </w:r>
      <w:r w:rsidR="00E7030E">
        <w:rPr>
          <w:rFonts w:ascii="Book Antiqua" w:hAnsi="Book Antiqua" w:cs="Arial Hebrew"/>
          <w:b/>
          <w:bCs/>
          <w:sz w:val="22"/>
          <w:szCs w:val="22"/>
        </w:rPr>
        <w:t>January</w:t>
      </w:r>
      <w:r>
        <w:rPr>
          <w:rFonts w:ascii="Book Antiqua" w:hAnsi="Book Antiqua" w:cs="Arial Hebrew"/>
          <w:sz w:val="22"/>
          <w:szCs w:val="22"/>
        </w:rPr>
        <w:t xml:space="preserve">, </w:t>
      </w:r>
      <w:r w:rsidR="00F83AB6">
        <w:rPr>
          <w:rFonts w:ascii="Book Antiqua" w:hAnsi="Book Antiqua" w:cs="Arial Hebrew"/>
          <w:sz w:val="22"/>
          <w:szCs w:val="22"/>
        </w:rPr>
        <w:t>s</w:t>
      </w:r>
      <w:r>
        <w:rPr>
          <w:rFonts w:ascii="Book Antiqua" w:hAnsi="Book Antiqua" w:cs="Arial Hebrew"/>
          <w:sz w:val="22"/>
          <w:szCs w:val="22"/>
        </w:rPr>
        <w:t>ome broad trends are noticeable:</w:t>
      </w:r>
    </w:p>
    <w:p w14:paraId="110E1476" w14:textId="526DA202" w:rsidR="002B42C3" w:rsidRDefault="00CA7C1B" w:rsidP="0034187D">
      <w:pPr>
        <w:pStyle w:val="ListParagraph"/>
        <w:numPr>
          <w:ilvl w:val="0"/>
          <w:numId w:val="20"/>
        </w:numPr>
        <w:jc w:val="both"/>
        <w:rPr>
          <w:rFonts w:ascii="Book Antiqua" w:hAnsi="Book Antiqua" w:cs="Arial Hebrew"/>
        </w:rPr>
      </w:pPr>
      <w:r>
        <w:rPr>
          <w:rFonts w:ascii="Book Antiqua" w:hAnsi="Book Antiqua" w:cs="Arial Hebrew"/>
        </w:rPr>
        <w:t xml:space="preserve">Daily case counts of </w:t>
      </w:r>
      <w:r w:rsidR="005F10F3">
        <w:rPr>
          <w:rFonts w:ascii="Book Antiqua" w:hAnsi="Book Antiqua" w:cs="Arial Hebrew"/>
        </w:rPr>
        <w:t>COVID-19</w:t>
      </w:r>
      <w:r w:rsidR="00E87483">
        <w:rPr>
          <w:rFonts w:ascii="Book Antiqua" w:hAnsi="Book Antiqua" w:cs="Arial Hebrew"/>
        </w:rPr>
        <w:t xml:space="preserve"> cases</w:t>
      </w:r>
      <w:r w:rsidR="005F10F3">
        <w:rPr>
          <w:rFonts w:ascii="Book Antiqua" w:hAnsi="Book Antiqua" w:cs="Arial Hebrew"/>
        </w:rPr>
        <w:t xml:space="preserve"> in</w:t>
      </w:r>
      <w:r w:rsidR="00173C87">
        <w:rPr>
          <w:rFonts w:ascii="Book Antiqua" w:hAnsi="Book Antiqua" w:cs="Arial Hebrew"/>
        </w:rPr>
        <w:t xml:space="preserve"> </w:t>
      </w:r>
      <w:r w:rsidR="00F63EAC">
        <w:rPr>
          <w:rFonts w:ascii="Book Antiqua" w:hAnsi="Book Antiqua" w:cs="Arial Hebrew"/>
        </w:rPr>
        <w:t>Holdrege</w:t>
      </w:r>
      <w:r w:rsidR="00173C87">
        <w:rPr>
          <w:rFonts w:ascii="Book Antiqua" w:hAnsi="Book Antiqua" w:cs="Arial Hebrew"/>
        </w:rPr>
        <w:t xml:space="preserve"> </w:t>
      </w:r>
      <w:r w:rsidR="00005AAC">
        <w:rPr>
          <w:rFonts w:ascii="Book Antiqua" w:hAnsi="Book Antiqua" w:cs="Arial Hebrew"/>
        </w:rPr>
        <w:t>city</w:t>
      </w:r>
      <w:r w:rsidR="00AC54DB">
        <w:rPr>
          <w:rFonts w:ascii="Book Antiqua" w:hAnsi="Book Antiqua" w:cs="Arial Hebrew"/>
        </w:rPr>
        <w:t xml:space="preserve"> and urban area</w:t>
      </w:r>
      <w:r>
        <w:rPr>
          <w:rFonts w:ascii="Book Antiqua" w:hAnsi="Book Antiqua" w:cs="Arial Hebrew"/>
        </w:rPr>
        <w:t xml:space="preserve"> </w:t>
      </w:r>
      <w:r w:rsidR="00765F16">
        <w:rPr>
          <w:rFonts w:ascii="Book Antiqua" w:hAnsi="Book Antiqua" w:cs="Arial Hebrew"/>
        </w:rPr>
        <w:t xml:space="preserve">have </w:t>
      </w:r>
      <w:r w:rsidR="009E1C54">
        <w:rPr>
          <w:rFonts w:ascii="Book Antiqua" w:hAnsi="Book Antiqua" w:cs="Arial Hebrew"/>
        </w:rPr>
        <w:t xml:space="preserve">dropped to levels seen in mid-October, before </w:t>
      </w:r>
      <w:r w:rsidR="00F63EAC">
        <w:rPr>
          <w:rFonts w:ascii="Book Antiqua" w:hAnsi="Book Antiqua" w:cs="Arial Hebrew"/>
        </w:rPr>
        <w:t>the</w:t>
      </w:r>
      <w:r w:rsidR="009E1C54">
        <w:rPr>
          <w:rFonts w:ascii="Book Antiqua" w:hAnsi="Book Antiqua" w:cs="Arial Hebrew"/>
        </w:rPr>
        <w:t xml:space="preserve"> surge </w:t>
      </w:r>
      <w:r w:rsidR="00F63EAC">
        <w:rPr>
          <w:rFonts w:ascii="Book Antiqua" w:hAnsi="Book Antiqua" w:cs="Arial Hebrew"/>
        </w:rPr>
        <w:t>i</w:t>
      </w:r>
      <w:r w:rsidR="009E1C54">
        <w:rPr>
          <w:rFonts w:ascii="Book Antiqua" w:hAnsi="Book Antiqua" w:cs="Arial Hebrew"/>
        </w:rPr>
        <w:t xml:space="preserve">n COVID cases that occurred in </w:t>
      </w:r>
      <w:r w:rsidR="00F63EAC">
        <w:rPr>
          <w:rFonts w:ascii="Book Antiqua" w:hAnsi="Book Antiqua" w:cs="Arial Hebrew"/>
        </w:rPr>
        <w:t>November</w:t>
      </w:r>
      <w:r w:rsidR="002B42C3">
        <w:rPr>
          <w:rFonts w:ascii="Book Antiqua" w:hAnsi="Book Antiqua" w:cs="Arial Hebrew"/>
        </w:rPr>
        <w:t>.</w:t>
      </w:r>
    </w:p>
    <w:p w14:paraId="1DEC6B08" w14:textId="49086041" w:rsidR="005F10F3" w:rsidRPr="00E712EE" w:rsidRDefault="005F10F3" w:rsidP="00EE679D">
      <w:pPr>
        <w:jc w:val="both"/>
        <w:rPr>
          <w:rFonts w:ascii="Book Antiqua" w:hAnsi="Book Antiqua" w:cs="Arial Hebrew"/>
          <w:sz w:val="22"/>
          <w:szCs w:val="22"/>
        </w:rPr>
      </w:pPr>
      <w:r w:rsidRPr="00E712EE">
        <w:rPr>
          <w:rFonts w:ascii="Book Antiqua" w:hAnsi="Book Antiqua" w:cs="Arial Hebrew"/>
          <w:sz w:val="22"/>
          <w:szCs w:val="22"/>
        </w:rPr>
        <w:t xml:space="preserve">On analyzing COVID cases from </w:t>
      </w:r>
      <w:r w:rsidRPr="00E712EE">
        <w:rPr>
          <w:rFonts w:ascii="Book Antiqua" w:hAnsi="Book Antiqua" w:cs="Arial Hebrew"/>
          <w:b/>
          <w:bCs/>
          <w:sz w:val="22"/>
          <w:szCs w:val="22"/>
        </w:rPr>
        <w:t xml:space="preserve">July – </w:t>
      </w:r>
      <w:r w:rsidR="000A22D9">
        <w:rPr>
          <w:rFonts w:ascii="Book Antiqua" w:hAnsi="Book Antiqua" w:cs="Arial Hebrew"/>
          <w:b/>
          <w:bCs/>
          <w:sz w:val="22"/>
          <w:szCs w:val="22"/>
        </w:rPr>
        <w:t>January</w:t>
      </w:r>
      <w:r w:rsidRPr="00E712EE">
        <w:rPr>
          <w:rFonts w:ascii="Book Antiqua" w:hAnsi="Book Antiqua" w:cs="Arial Hebrew"/>
          <w:sz w:val="22"/>
          <w:szCs w:val="22"/>
        </w:rPr>
        <w:t xml:space="preserve">, some details </w:t>
      </w:r>
      <w:r w:rsidR="003F4BE6" w:rsidRPr="00E712EE">
        <w:rPr>
          <w:rFonts w:ascii="Book Antiqua" w:hAnsi="Book Antiqua" w:cs="Arial Hebrew"/>
          <w:sz w:val="22"/>
          <w:szCs w:val="22"/>
        </w:rPr>
        <w:t>become clear</w:t>
      </w:r>
      <w:r w:rsidRPr="00E712EE">
        <w:rPr>
          <w:rFonts w:ascii="Book Antiqua" w:hAnsi="Book Antiqua" w:cs="Arial Hebrew"/>
          <w:sz w:val="22"/>
          <w:szCs w:val="22"/>
        </w:rPr>
        <w:t>:</w:t>
      </w:r>
    </w:p>
    <w:p w14:paraId="689D06E4" w14:textId="575B6A78" w:rsidR="00765F16" w:rsidRPr="00F63EAC" w:rsidRDefault="00F63EAC" w:rsidP="0034187D">
      <w:pPr>
        <w:pStyle w:val="ListParagraph"/>
        <w:numPr>
          <w:ilvl w:val="0"/>
          <w:numId w:val="21"/>
        </w:numPr>
        <w:jc w:val="both"/>
        <w:rPr>
          <w:rFonts w:ascii="Book Antiqua" w:hAnsi="Book Antiqua" w:cs="Arial Hebrew"/>
        </w:rPr>
      </w:pPr>
      <w:r>
        <w:rPr>
          <w:rFonts w:ascii="Book Antiqua" w:hAnsi="Book Antiqua"/>
        </w:rPr>
        <w:t xml:space="preserve">In the last month, less than a fifth of tests conducted among residents of Holdrege who are aged 60 years or more were positive. </w:t>
      </w:r>
    </w:p>
    <w:p w14:paraId="59A1CA84" w14:textId="45A9D727" w:rsidR="00F63EAC" w:rsidRPr="005B5C8F" w:rsidRDefault="00F63EAC" w:rsidP="0034187D">
      <w:pPr>
        <w:pStyle w:val="ListParagraph"/>
        <w:numPr>
          <w:ilvl w:val="0"/>
          <w:numId w:val="21"/>
        </w:numPr>
        <w:jc w:val="both"/>
        <w:rPr>
          <w:rFonts w:ascii="Book Antiqua" w:hAnsi="Book Antiqua" w:cs="Arial Hebrew"/>
        </w:rPr>
      </w:pPr>
      <w:r>
        <w:rPr>
          <w:rFonts w:ascii="Book Antiqua" w:hAnsi="Book Antiqua"/>
        </w:rPr>
        <w:t>There are no new cases detected in long term care or other residential facilities in Phelps county.</w:t>
      </w:r>
    </w:p>
    <w:p w14:paraId="3F57D7D1" w14:textId="3C5A33F1" w:rsidR="008B7D7D" w:rsidRPr="008B7D7D" w:rsidRDefault="008B7D7D" w:rsidP="006D7C0D">
      <w:pPr>
        <w:jc w:val="both"/>
        <w:rPr>
          <w:rFonts w:ascii="Book Antiqua" w:hAnsi="Book Antiqua" w:cs="Arial Hebrew"/>
          <w:sz w:val="22"/>
          <w:szCs w:val="22"/>
        </w:rPr>
      </w:pPr>
      <w:r w:rsidRPr="008B7D7D">
        <w:rPr>
          <w:rFonts w:ascii="Book Antiqua" w:hAnsi="Book Antiqua" w:cs="Arial Hebrew"/>
          <w:sz w:val="22"/>
          <w:szCs w:val="22"/>
        </w:rPr>
        <w:t xml:space="preserve">On analyzing COVID cases </w:t>
      </w:r>
      <w:r w:rsidR="007B274A">
        <w:rPr>
          <w:rFonts w:ascii="Book Antiqua" w:hAnsi="Book Antiqua" w:cs="Arial Hebrew"/>
          <w:sz w:val="22"/>
          <w:szCs w:val="22"/>
        </w:rPr>
        <w:t>from</w:t>
      </w:r>
      <w:r w:rsidRPr="008B7D7D">
        <w:rPr>
          <w:rFonts w:ascii="Book Antiqua" w:hAnsi="Book Antiqua" w:cs="Arial Hebrew"/>
          <w:sz w:val="22"/>
          <w:szCs w:val="22"/>
        </w:rPr>
        <w:t xml:space="preserve"> </w:t>
      </w:r>
      <w:r w:rsidR="000C7DFF">
        <w:rPr>
          <w:rFonts w:ascii="Book Antiqua" w:hAnsi="Book Antiqua" w:cs="Arial Hebrew"/>
          <w:b/>
          <w:bCs/>
          <w:sz w:val="22"/>
          <w:szCs w:val="22"/>
        </w:rPr>
        <w:t>December</w:t>
      </w:r>
      <w:r w:rsidR="000A22D9">
        <w:rPr>
          <w:rFonts w:ascii="Book Antiqua" w:hAnsi="Book Antiqua" w:cs="Arial Hebrew"/>
          <w:b/>
          <w:bCs/>
          <w:sz w:val="22"/>
          <w:szCs w:val="22"/>
        </w:rPr>
        <w:t xml:space="preserve"> - January</w:t>
      </w:r>
      <w:r w:rsidRPr="008B7D7D">
        <w:rPr>
          <w:rFonts w:ascii="Book Antiqua" w:hAnsi="Book Antiqua" w:cs="Arial Hebrew"/>
          <w:sz w:val="22"/>
          <w:szCs w:val="22"/>
        </w:rPr>
        <w:t xml:space="preserve">, </w:t>
      </w:r>
      <w:r>
        <w:rPr>
          <w:rFonts w:ascii="Book Antiqua" w:hAnsi="Book Antiqua" w:cs="Arial Hebrew"/>
          <w:sz w:val="22"/>
          <w:szCs w:val="22"/>
        </w:rPr>
        <w:t>we are able to observe</w:t>
      </w:r>
      <w:r w:rsidRPr="008B7D7D">
        <w:rPr>
          <w:rFonts w:ascii="Book Antiqua" w:hAnsi="Book Antiqua" w:cs="Arial Hebrew"/>
          <w:sz w:val="22"/>
          <w:szCs w:val="22"/>
        </w:rPr>
        <w:t>:</w:t>
      </w:r>
    </w:p>
    <w:p w14:paraId="681B2D13" w14:textId="52ABBF6D" w:rsidR="007B274A" w:rsidRDefault="004D6D3A" w:rsidP="00765F16">
      <w:pPr>
        <w:pStyle w:val="ListParagraph"/>
        <w:numPr>
          <w:ilvl w:val="0"/>
          <w:numId w:val="21"/>
        </w:numPr>
        <w:jc w:val="both"/>
        <w:rPr>
          <w:rFonts w:ascii="Book Antiqua" w:hAnsi="Book Antiqua" w:cs="Arial Hebrew"/>
        </w:rPr>
      </w:pPr>
      <w:r>
        <w:rPr>
          <w:rFonts w:ascii="Book Antiqua" w:hAnsi="Book Antiqua" w:cs="Arial Hebrew"/>
        </w:rPr>
        <w:t>Although there seems to be some fluctuation, case rates in Holdrege city seem to be low</w:t>
      </w:r>
      <w:r w:rsidR="007B274A">
        <w:rPr>
          <w:rFonts w:ascii="Book Antiqua" w:hAnsi="Book Antiqua" w:cs="Arial Hebrew"/>
        </w:rPr>
        <w:t>.</w:t>
      </w:r>
    </w:p>
    <w:p w14:paraId="5467F0FC" w14:textId="5785BE9A" w:rsidR="009D5084" w:rsidRPr="00765F16" w:rsidRDefault="009D5084" w:rsidP="00765F16">
      <w:pPr>
        <w:pStyle w:val="ListParagraph"/>
        <w:numPr>
          <w:ilvl w:val="0"/>
          <w:numId w:val="21"/>
        </w:numPr>
        <w:jc w:val="both"/>
        <w:rPr>
          <w:rFonts w:ascii="Book Antiqua" w:hAnsi="Book Antiqua" w:cs="Arial Hebrew"/>
        </w:rPr>
      </w:pPr>
      <w:r>
        <w:rPr>
          <w:rFonts w:ascii="Book Antiqua" w:hAnsi="Book Antiqua" w:cs="Arial Hebrew"/>
        </w:rPr>
        <w:t>Snow-related delays disrupted testing access in the past week, and this is expected to continue into next week also.</w:t>
      </w:r>
    </w:p>
    <w:p w14:paraId="63BCE869" w14:textId="1315CF82" w:rsidR="00C210B8" w:rsidRPr="000A22D9" w:rsidRDefault="00C210B8" w:rsidP="00C210B8">
      <w:pPr>
        <w:jc w:val="both"/>
        <w:rPr>
          <w:rFonts w:ascii="Book Antiqua" w:hAnsi="Book Antiqua"/>
          <w:sz w:val="22"/>
          <w:szCs w:val="22"/>
        </w:rPr>
      </w:pPr>
      <w:r w:rsidRPr="000A22D9">
        <w:rPr>
          <w:rFonts w:ascii="Book Antiqua" w:hAnsi="Book Antiqua"/>
          <w:sz w:val="22"/>
          <w:szCs w:val="22"/>
        </w:rPr>
        <w:t xml:space="preserve">In addition, an analysis of </w:t>
      </w:r>
      <w:r w:rsidRPr="000A22D9">
        <w:rPr>
          <w:rFonts w:ascii="Book Antiqua" w:hAnsi="Book Antiqua"/>
          <w:b/>
          <w:bCs/>
          <w:sz w:val="22"/>
          <w:szCs w:val="22"/>
        </w:rPr>
        <w:t xml:space="preserve">healthcare </w:t>
      </w:r>
      <w:r w:rsidR="00E55598" w:rsidRPr="000A22D9">
        <w:rPr>
          <w:rFonts w:ascii="Book Antiqua" w:hAnsi="Book Antiqua"/>
          <w:b/>
          <w:bCs/>
          <w:sz w:val="22"/>
          <w:szCs w:val="22"/>
        </w:rPr>
        <w:t xml:space="preserve">and testing </w:t>
      </w:r>
      <w:r w:rsidRPr="000A22D9">
        <w:rPr>
          <w:rFonts w:ascii="Book Antiqua" w:hAnsi="Book Antiqua"/>
          <w:b/>
          <w:bCs/>
          <w:sz w:val="22"/>
          <w:szCs w:val="22"/>
        </w:rPr>
        <w:t>capacity</w:t>
      </w:r>
      <w:r w:rsidRPr="000A22D9">
        <w:rPr>
          <w:rFonts w:ascii="Book Antiqua" w:hAnsi="Book Antiqua"/>
          <w:sz w:val="22"/>
          <w:szCs w:val="22"/>
        </w:rPr>
        <w:t xml:space="preserve"> in Two Rivers Health District reveals:</w:t>
      </w:r>
    </w:p>
    <w:p w14:paraId="57C22BB9" w14:textId="24314B75" w:rsidR="00762838" w:rsidRPr="00947EF4" w:rsidRDefault="00762838" w:rsidP="00762838">
      <w:pPr>
        <w:pStyle w:val="ListParagraph"/>
        <w:numPr>
          <w:ilvl w:val="0"/>
          <w:numId w:val="26"/>
        </w:numPr>
        <w:jc w:val="both"/>
        <w:rPr>
          <w:rFonts w:ascii="Book Antiqua" w:hAnsi="Book Antiqua"/>
        </w:rPr>
      </w:pPr>
      <w:r>
        <w:rPr>
          <w:rFonts w:ascii="Book Antiqua" w:hAnsi="Book Antiqua"/>
        </w:rPr>
        <w:t>Half</w:t>
      </w:r>
      <w:r w:rsidRPr="00947EF4">
        <w:rPr>
          <w:rFonts w:ascii="Book Antiqua" w:hAnsi="Book Antiqua"/>
        </w:rPr>
        <w:t xml:space="preserve"> of </w:t>
      </w:r>
      <w:r>
        <w:rPr>
          <w:rFonts w:ascii="Book Antiqua" w:hAnsi="Book Antiqua"/>
        </w:rPr>
        <w:t xml:space="preserve">all </w:t>
      </w:r>
      <w:r w:rsidRPr="00947EF4">
        <w:rPr>
          <w:rFonts w:ascii="Book Antiqua" w:hAnsi="Book Antiqua"/>
        </w:rPr>
        <w:t xml:space="preserve">ICU beds across the district are available currently; </w:t>
      </w:r>
      <w:r>
        <w:rPr>
          <w:rFonts w:ascii="Book Antiqua" w:hAnsi="Book Antiqua"/>
        </w:rPr>
        <w:t xml:space="preserve">COVID-related admissions account for less than 15% of all occupied beds </w:t>
      </w:r>
      <w:r w:rsidRPr="00947EF4">
        <w:rPr>
          <w:rFonts w:ascii="Book Antiqua" w:hAnsi="Book Antiqua"/>
        </w:rPr>
        <w:t xml:space="preserve">(see </w:t>
      </w:r>
      <w:hyperlink r:id="rId14" w:history="1">
        <w:r w:rsidRPr="00947EF4">
          <w:rPr>
            <w:rStyle w:val="Hyperlink"/>
            <w:rFonts w:ascii="Book Antiqua" w:hAnsi="Book Antiqua"/>
          </w:rPr>
          <w:t>https://www.trphd.org/covid-19/</w:t>
        </w:r>
      </w:hyperlink>
      <w:r w:rsidRPr="00947EF4">
        <w:rPr>
          <w:rFonts w:ascii="Book Antiqua" w:hAnsi="Book Antiqua"/>
        </w:rPr>
        <w:t xml:space="preserve"> for details)</w:t>
      </w:r>
      <w:r>
        <w:rPr>
          <w:rFonts w:ascii="Book Antiqua" w:hAnsi="Book Antiqua"/>
        </w:rPr>
        <w:t xml:space="preserve"> </w:t>
      </w:r>
    </w:p>
    <w:p w14:paraId="49CDE869" w14:textId="77777777" w:rsidR="005B5C8F" w:rsidRPr="0034187D" w:rsidRDefault="005B5C8F" w:rsidP="005B5C8F">
      <w:pPr>
        <w:pStyle w:val="ListParagraph"/>
        <w:numPr>
          <w:ilvl w:val="0"/>
          <w:numId w:val="26"/>
        </w:numPr>
        <w:jc w:val="both"/>
        <w:rPr>
          <w:rFonts w:ascii="Book Antiqua" w:hAnsi="Book Antiqua" w:cs="Arial Hebrew"/>
        </w:rPr>
      </w:pPr>
      <w:r>
        <w:rPr>
          <w:rFonts w:ascii="Book Antiqua" w:hAnsi="Book Antiqua"/>
        </w:rPr>
        <w:t xml:space="preserve">Testing uptake is low across Dawson county. </w:t>
      </w:r>
      <w:r w:rsidRPr="006A3399">
        <w:rPr>
          <w:rFonts w:ascii="Book Antiqua" w:hAnsi="Book Antiqua"/>
        </w:rPr>
        <w:t>For more details on testing statistics</w:t>
      </w:r>
      <w:r>
        <w:rPr>
          <w:rFonts w:ascii="Book Antiqua" w:hAnsi="Book Antiqua"/>
        </w:rPr>
        <w:t xml:space="preserve"> and case numbers</w:t>
      </w:r>
      <w:r w:rsidRPr="006A3399">
        <w:rPr>
          <w:rFonts w:ascii="Book Antiqua" w:hAnsi="Book Antiqua"/>
        </w:rPr>
        <w:t xml:space="preserve">, see weekly report (Jan </w:t>
      </w:r>
      <w:r>
        <w:rPr>
          <w:rFonts w:ascii="Book Antiqua" w:hAnsi="Book Antiqua"/>
        </w:rPr>
        <w:t>20</w:t>
      </w:r>
      <w:r w:rsidRPr="006A3399">
        <w:rPr>
          <w:rFonts w:ascii="Book Antiqua" w:hAnsi="Book Antiqua"/>
        </w:rPr>
        <w:t xml:space="preserve"> – Jan </w:t>
      </w:r>
      <w:r>
        <w:rPr>
          <w:rFonts w:ascii="Book Antiqua" w:hAnsi="Book Antiqua"/>
        </w:rPr>
        <w:t>26</w:t>
      </w:r>
      <w:r w:rsidRPr="006A3399">
        <w:rPr>
          <w:rFonts w:ascii="Book Antiqua" w:hAnsi="Book Antiqua"/>
        </w:rPr>
        <w:t xml:space="preserve"> </w:t>
      </w:r>
      <w:hyperlink r:id="rId15" w:history="1">
        <w:r w:rsidRPr="006A3399">
          <w:rPr>
            <w:rStyle w:val="Hyperlink"/>
            <w:rFonts w:ascii="Book Antiqua" w:hAnsi="Book Antiqua"/>
          </w:rPr>
          <w:t>https://www.trphd.org/covid-19/weekly-reports.html</w:t>
        </w:r>
      </w:hyperlink>
      <w:r w:rsidRPr="006A3399">
        <w:rPr>
          <w:rFonts w:ascii="Book Antiqua" w:hAnsi="Book Antiqua"/>
        </w:rPr>
        <w:t xml:space="preserve"> ).</w:t>
      </w:r>
    </w:p>
    <w:p w14:paraId="57D09358" w14:textId="55515130" w:rsidR="00765F16" w:rsidRPr="007B274A" w:rsidRDefault="005B5C8F" w:rsidP="007B274A">
      <w:pPr>
        <w:pStyle w:val="ListParagraph"/>
        <w:numPr>
          <w:ilvl w:val="0"/>
          <w:numId w:val="26"/>
        </w:numPr>
        <w:jc w:val="both"/>
        <w:rPr>
          <w:rFonts w:ascii="Book Antiqua" w:hAnsi="Book Antiqua"/>
        </w:rPr>
      </w:pPr>
      <w:r>
        <w:rPr>
          <w:rFonts w:ascii="Book Antiqua" w:hAnsi="Book Antiqua"/>
        </w:rPr>
        <w:t>Since December 15</w:t>
      </w:r>
      <w:r w:rsidR="00765F16">
        <w:rPr>
          <w:rFonts w:ascii="Book Antiqua" w:hAnsi="Book Antiqua"/>
        </w:rPr>
        <w:t xml:space="preserve">, 7357 residents </w:t>
      </w:r>
      <w:r w:rsidR="009D5084">
        <w:rPr>
          <w:rFonts w:ascii="Book Antiqua" w:hAnsi="Book Antiqua"/>
        </w:rPr>
        <w:t xml:space="preserve">of Two Rivers Health District </w:t>
      </w:r>
      <w:r w:rsidR="00765F16">
        <w:rPr>
          <w:rFonts w:ascii="Book Antiqua" w:hAnsi="Book Antiqua"/>
        </w:rPr>
        <w:t xml:space="preserve">have received one or both doses of the </w:t>
      </w:r>
      <w:r>
        <w:rPr>
          <w:rFonts w:ascii="Book Antiqua" w:hAnsi="Book Antiqua"/>
        </w:rPr>
        <w:t xml:space="preserve">COVID </w:t>
      </w:r>
      <w:r w:rsidR="00765F16">
        <w:rPr>
          <w:rFonts w:ascii="Book Antiqua" w:hAnsi="Book Antiqua"/>
        </w:rPr>
        <w:t xml:space="preserve">vaccine. This accounts for 1.65% of all eligible persons living in </w:t>
      </w:r>
      <w:r w:rsidR="009D5084">
        <w:rPr>
          <w:rFonts w:ascii="Book Antiqua" w:hAnsi="Book Antiqua"/>
        </w:rPr>
        <w:t>the</w:t>
      </w:r>
      <w:r w:rsidR="00765F16">
        <w:rPr>
          <w:rFonts w:ascii="Book Antiqua" w:hAnsi="Book Antiqua"/>
        </w:rPr>
        <w:t xml:space="preserve"> District. There are over 76,000 persons </w:t>
      </w:r>
      <w:r w:rsidR="009D5084">
        <w:rPr>
          <w:rFonts w:ascii="Book Antiqua" w:hAnsi="Book Antiqua"/>
        </w:rPr>
        <w:t>aged</w:t>
      </w:r>
      <w:r w:rsidR="00765F16">
        <w:rPr>
          <w:rFonts w:ascii="Book Antiqua" w:hAnsi="Book Antiqua"/>
        </w:rPr>
        <w:t xml:space="preserve"> 16 years </w:t>
      </w:r>
      <w:r w:rsidR="009D5084">
        <w:rPr>
          <w:rFonts w:ascii="Book Antiqua" w:hAnsi="Book Antiqua"/>
        </w:rPr>
        <w:t xml:space="preserve">or more </w:t>
      </w:r>
      <w:r w:rsidR="00765F16">
        <w:rPr>
          <w:rFonts w:ascii="Book Antiqua" w:hAnsi="Book Antiqua"/>
        </w:rPr>
        <w:t>living in TRPHD.</w:t>
      </w:r>
    </w:p>
    <w:p w14:paraId="66B6B5AE" w14:textId="13D3E80F" w:rsidR="000726F4" w:rsidRPr="005B5C8F" w:rsidRDefault="0021680A" w:rsidP="005B5C8F">
      <w:pPr>
        <w:jc w:val="both"/>
        <w:rPr>
          <w:rFonts w:ascii="Book Antiqua" w:eastAsia="Calibri" w:hAnsi="Book Antiqua"/>
          <w:b/>
          <w:bCs/>
          <w:i/>
          <w:iCs/>
          <w:sz w:val="22"/>
          <w:szCs w:val="22"/>
        </w:rPr>
      </w:pPr>
      <w:r w:rsidRPr="00FB3BAB">
        <w:rPr>
          <w:rFonts w:ascii="Book Antiqua" w:eastAsia="Calibri" w:hAnsi="Book Antiqua"/>
          <w:b/>
          <w:bCs/>
          <w:i/>
          <w:iCs/>
          <w:sz w:val="22"/>
          <w:szCs w:val="22"/>
        </w:rPr>
        <w:t>To conclude,</w:t>
      </w:r>
      <w:r>
        <w:rPr>
          <w:rFonts w:ascii="Book Antiqua" w:eastAsia="Calibri" w:hAnsi="Book Antiqua"/>
          <w:b/>
          <w:bCs/>
          <w:i/>
          <w:iCs/>
          <w:sz w:val="22"/>
          <w:szCs w:val="22"/>
        </w:rPr>
        <w:t xml:space="preserve"> </w:t>
      </w:r>
      <w:bookmarkStart w:id="0" w:name="_Hlk57884255"/>
      <w:r w:rsidR="00A5173E">
        <w:rPr>
          <w:rFonts w:ascii="Book Antiqua" w:eastAsia="Calibri" w:hAnsi="Book Antiqua"/>
          <w:b/>
          <w:bCs/>
          <w:i/>
          <w:iCs/>
          <w:sz w:val="22"/>
          <w:szCs w:val="22"/>
        </w:rPr>
        <w:t>daily rates of COVID-</w:t>
      </w:r>
      <w:r w:rsidR="00201A94">
        <w:rPr>
          <w:rFonts w:ascii="Book Antiqua" w:eastAsia="Calibri" w:hAnsi="Book Antiqua"/>
          <w:b/>
          <w:bCs/>
          <w:i/>
          <w:iCs/>
          <w:sz w:val="22"/>
          <w:szCs w:val="22"/>
        </w:rPr>
        <w:t xml:space="preserve">19 </w:t>
      </w:r>
      <w:r w:rsidR="00762838">
        <w:rPr>
          <w:rFonts w:ascii="Book Antiqua" w:eastAsia="Calibri" w:hAnsi="Book Antiqua"/>
          <w:b/>
          <w:bCs/>
          <w:i/>
          <w:iCs/>
          <w:sz w:val="22"/>
          <w:szCs w:val="22"/>
        </w:rPr>
        <w:t xml:space="preserve">in </w:t>
      </w:r>
      <w:r w:rsidR="004D6D3A">
        <w:rPr>
          <w:rFonts w:ascii="Book Antiqua" w:eastAsia="Calibri" w:hAnsi="Book Antiqua"/>
          <w:b/>
          <w:bCs/>
          <w:i/>
          <w:iCs/>
          <w:sz w:val="22"/>
          <w:szCs w:val="22"/>
        </w:rPr>
        <w:t>Holdrege</w:t>
      </w:r>
      <w:r w:rsidR="00762838">
        <w:rPr>
          <w:rFonts w:ascii="Book Antiqua" w:eastAsia="Calibri" w:hAnsi="Book Antiqua"/>
          <w:b/>
          <w:bCs/>
          <w:i/>
          <w:iCs/>
          <w:sz w:val="22"/>
          <w:szCs w:val="22"/>
        </w:rPr>
        <w:t xml:space="preserve"> city and urban area </w:t>
      </w:r>
      <w:r w:rsidR="007B274A">
        <w:rPr>
          <w:rFonts w:ascii="Book Antiqua" w:eastAsia="Calibri" w:hAnsi="Book Antiqua"/>
          <w:b/>
          <w:bCs/>
          <w:i/>
          <w:iCs/>
          <w:sz w:val="22"/>
          <w:szCs w:val="22"/>
        </w:rPr>
        <w:t xml:space="preserve">remain </w:t>
      </w:r>
      <w:r w:rsidR="005B5C8F">
        <w:rPr>
          <w:rFonts w:ascii="Book Antiqua" w:eastAsia="Calibri" w:hAnsi="Book Antiqua"/>
          <w:b/>
          <w:bCs/>
          <w:i/>
          <w:iCs/>
          <w:sz w:val="22"/>
          <w:szCs w:val="22"/>
        </w:rPr>
        <w:t>low</w:t>
      </w:r>
      <w:r w:rsidR="007B274A">
        <w:rPr>
          <w:rFonts w:ascii="Book Antiqua" w:eastAsia="Calibri" w:hAnsi="Book Antiqua"/>
          <w:b/>
          <w:bCs/>
          <w:i/>
          <w:iCs/>
          <w:sz w:val="22"/>
          <w:szCs w:val="22"/>
        </w:rPr>
        <w:t xml:space="preserve">, </w:t>
      </w:r>
      <w:r w:rsidR="004D6D3A">
        <w:rPr>
          <w:rFonts w:ascii="Book Antiqua" w:eastAsia="Calibri" w:hAnsi="Book Antiqua"/>
          <w:b/>
          <w:bCs/>
          <w:i/>
          <w:iCs/>
          <w:sz w:val="22"/>
          <w:szCs w:val="22"/>
        </w:rPr>
        <w:t>especially across residents aged 60 years or more</w:t>
      </w:r>
      <w:r w:rsidR="00762838">
        <w:rPr>
          <w:rFonts w:ascii="Book Antiqua" w:eastAsia="Calibri" w:hAnsi="Book Antiqua"/>
          <w:b/>
          <w:bCs/>
          <w:i/>
          <w:iCs/>
          <w:sz w:val="22"/>
          <w:szCs w:val="22"/>
        </w:rPr>
        <w:t>.</w:t>
      </w:r>
      <w:r w:rsidR="0056731F">
        <w:rPr>
          <w:rFonts w:ascii="Book Antiqua" w:eastAsia="Calibri" w:hAnsi="Book Antiqua"/>
          <w:b/>
          <w:bCs/>
          <w:i/>
          <w:iCs/>
          <w:sz w:val="22"/>
          <w:szCs w:val="22"/>
        </w:rPr>
        <w:t xml:space="preserve"> </w:t>
      </w:r>
      <w:r w:rsidR="00AD5FC1">
        <w:rPr>
          <w:rFonts w:ascii="Book Antiqua" w:eastAsia="Calibri" w:hAnsi="Book Antiqua"/>
          <w:b/>
          <w:bCs/>
          <w:i/>
          <w:iCs/>
          <w:sz w:val="22"/>
          <w:szCs w:val="22"/>
        </w:rPr>
        <w:t>ICU availability</w:t>
      </w:r>
      <w:r w:rsidR="00AD5FC1" w:rsidRPr="00ED24D4">
        <w:rPr>
          <w:rFonts w:ascii="Book Antiqua" w:eastAsia="Calibri" w:hAnsi="Book Antiqua"/>
          <w:b/>
          <w:bCs/>
          <w:i/>
          <w:iCs/>
          <w:sz w:val="22"/>
          <w:szCs w:val="22"/>
        </w:rPr>
        <w:t xml:space="preserve"> </w:t>
      </w:r>
      <w:r w:rsidR="00AD5FC1">
        <w:rPr>
          <w:rFonts w:ascii="Book Antiqua" w:eastAsia="Calibri" w:hAnsi="Book Antiqua"/>
          <w:b/>
          <w:bCs/>
          <w:i/>
          <w:iCs/>
          <w:sz w:val="22"/>
          <w:szCs w:val="22"/>
        </w:rPr>
        <w:t xml:space="preserve">and COVID-related medical/surgical bed usage </w:t>
      </w:r>
      <w:r w:rsidR="00762838">
        <w:rPr>
          <w:rFonts w:ascii="Book Antiqua" w:eastAsia="Calibri" w:hAnsi="Book Antiqua"/>
          <w:b/>
          <w:bCs/>
          <w:i/>
          <w:iCs/>
          <w:sz w:val="22"/>
          <w:szCs w:val="22"/>
        </w:rPr>
        <w:t>are</w:t>
      </w:r>
      <w:r w:rsidR="00AD5FC1">
        <w:rPr>
          <w:rFonts w:ascii="Book Antiqua" w:eastAsia="Calibri" w:hAnsi="Book Antiqua"/>
          <w:b/>
          <w:bCs/>
          <w:i/>
          <w:iCs/>
          <w:sz w:val="22"/>
          <w:szCs w:val="22"/>
        </w:rPr>
        <w:t xml:space="preserve"> within safe levels across hospitals in Two Rivers </w:t>
      </w:r>
      <w:r w:rsidR="00762838">
        <w:rPr>
          <w:rFonts w:ascii="Book Antiqua" w:eastAsia="Calibri" w:hAnsi="Book Antiqua"/>
          <w:b/>
          <w:bCs/>
          <w:i/>
          <w:iCs/>
          <w:sz w:val="22"/>
          <w:szCs w:val="22"/>
        </w:rPr>
        <w:t>district</w:t>
      </w:r>
      <w:r w:rsidR="00AD5FC1">
        <w:rPr>
          <w:rFonts w:ascii="Book Antiqua" w:eastAsia="Calibri" w:hAnsi="Book Antiqua"/>
          <w:b/>
          <w:bCs/>
          <w:i/>
          <w:iCs/>
          <w:sz w:val="22"/>
          <w:szCs w:val="22"/>
        </w:rPr>
        <w:t xml:space="preserve">. </w:t>
      </w:r>
      <w:r w:rsidR="007B274A" w:rsidRPr="00142266">
        <w:rPr>
          <w:rFonts w:ascii="Book Antiqua" w:eastAsia="Calibri" w:hAnsi="Book Antiqua"/>
          <w:b/>
          <w:bCs/>
          <w:i/>
          <w:iCs/>
          <w:sz w:val="22"/>
          <w:szCs w:val="22"/>
        </w:rPr>
        <w:t>COVID-19 vaccination has been successfully rolled out across the district since December. About 1.7% of all eligible people (aged 16 years and over) in TRPHD have received at least one dose of vaccine. Those eligible are advised to contact their physician or Two Rivers Health Department</w:t>
      </w:r>
      <w:r w:rsidR="007B274A">
        <w:rPr>
          <w:rFonts w:ascii="Book Antiqua" w:eastAsia="Calibri" w:hAnsi="Book Antiqua"/>
          <w:b/>
          <w:bCs/>
          <w:i/>
          <w:iCs/>
          <w:sz w:val="22"/>
          <w:szCs w:val="22"/>
        </w:rPr>
        <w:t xml:space="preserve"> for details about registration</w:t>
      </w:r>
      <w:r w:rsidR="007B274A" w:rsidRPr="00142266">
        <w:rPr>
          <w:rFonts w:ascii="Book Antiqua" w:eastAsia="Calibri" w:hAnsi="Book Antiqua"/>
          <w:b/>
          <w:bCs/>
          <w:i/>
          <w:iCs/>
          <w:sz w:val="22"/>
          <w:szCs w:val="22"/>
        </w:rPr>
        <w:t xml:space="preserve">. In the meantime, however, residents are advised to </w:t>
      </w:r>
      <w:r w:rsidR="00A5173E">
        <w:rPr>
          <w:rFonts w:ascii="Book Antiqua" w:eastAsia="Calibri" w:hAnsi="Book Antiqua"/>
          <w:b/>
          <w:bCs/>
          <w:i/>
          <w:iCs/>
          <w:sz w:val="22"/>
          <w:szCs w:val="22"/>
        </w:rPr>
        <w:t>continue to</w:t>
      </w:r>
      <w:r w:rsidR="00A5173E" w:rsidRPr="00FB3BAB">
        <w:rPr>
          <w:rFonts w:ascii="Book Antiqua" w:eastAsia="Calibri" w:hAnsi="Book Antiqua"/>
          <w:b/>
          <w:bCs/>
          <w:i/>
          <w:iCs/>
          <w:sz w:val="22"/>
          <w:szCs w:val="22"/>
        </w:rPr>
        <w:t xml:space="preserve"> adhere to strict preventive measures (social distancing, correct and consistent masking) at all times to protect themselves</w:t>
      </w:r>
      <w:r w:rsidR="00A5173E">
        <w:rPr>
          <w:rFonts w:ascii="Book Antiqua" w:eastAsia="Calibri" w:hAnsi="Book Antiqua"/>
          <w:b/>
          <w:bCs/>
          <w:i/>
          <w:iCs/>
          <w:sz w:val="22"/>
          <w:szCs w:val="22"/>
        </w:rPr>
        <w:t xml:space="preserve"> and others</w:t>
      </w:r>
      <w:r w:rsidR="00CE389B">
        <w:rPr>
          <w:rFonts w:ascii="Book Antiqua" w:eastAsia="Calibri" w:hAnsi="Book Antiqua"/>
          <w:b/>
          <w:bCs/>
          <w:i/>
          <w:iCs/>
          <w:sz w:val="22"/>
          <w:szCs w:val="22"/>
        </w:rPr>
        <w:t>.</w:t>
      </w:r>
      <w:bookmarkEnd w:id="0"/>
    </w:p>
    <w:p w14:paraId="7A07065F" w14:textId="77777777" w:rsidR="00C210B8" w:rsidRDefault="00C210B8">
      <w:pPr>
        <w:spacing w:after="160" w:line="259" w:lineRule="auto"/>
        <w:rPr>
          <w:rFonts w:ascii="Book Antiqua" w:hAnsi="Book Antiqua" w:cs="Arial Hebrew"/>
          <w:b/>
          <w:bCs/>
          <w:sz w:val="22"/>
          <w:szCs w:val="22"/>
          <w:u w:val="single"/>
        </w:rPr>
      </w:pPr>
      <w:r>
        <w:rPr>
          <w:rFonts w:ascii="Book Antiqua" w:hAnsi="Book Antiqua" w:cs="Arial Hebrew"/>
          <w:b/>
          <w:bCs/>
          <w:sz w:val="22"/>
          <w:szCs w:val="22"/>
          <w:u w:val="single"/>
        </w:rPr>
        <w:br w:type="page"/>
      </w:r>
    </w:p>
    <w:p w14:paraId="391DD7F8" w14:textId="4B4A3CB0" w:rsidR="001D3545" w:rsidRDefault="00101B64" w:rsidP="00101B64">
      <w:pPr>
        <w:contextualSpacing/>
        <w:jc w:val="center"/>
        <w:rPr>
          <w:rFonts w:ascii="Book Antiqua" w:hAnsi="Book Antiqua" w:cs="Arial Hebrew"/>
          <w:b/>
          <w:bCs/>
          <w:sz w:val="22"/>
          <w:szCs w:val="22"/>
          <w:u w:val="single"/>
        </w:rPr>
      </w:pPr>
      <w:r w:rsidRPr="00101B64">
        <w:rPr>
          <w:rFonts w:ascii="Book Antiqua" w:hAnsi="Book Antiqua" w:cs="Arial Hebrew"/>
          <w:b/>
          <w:bCs/>
          <w:sz w:val="22"/>
          <w:szCs w:val="22"/>
          <w:u w:val="single"/>
        </w:rPr>
        <w:lastRenderedPageBreak/>
        <w:t>APPENDIX 1</w:t>
      </w:r>
    </w:p>
    <w:p w14:paraId="55DB6018" w14:textId="5C024D76" w:rsidR="00101B64" w:rsidRDefault="00101B64" w:rsidP="00101B64">
      <w:pPr>
        <w:contextualSpacing/>
        <w:rPr>
          <w:rFonts w:ascii="Book Antiqua" w:hAnsi="Book Antiqua" w:cs="Arial Hebrew"/>
          <w:b/>
          <w:bCs/>
          <w:sz w:val="22"/>
          <w:szCs w:val="22"/>
          <w:u w:val="single"/>
        </w:rPr>
      </w:pPr>
    </w:p>
    <w:p w14:paraId="6397D196" w14:textId="77777777" w:rsidR="00101B64" w:rsidRPr="00390189" w:rsidRDefault="00101B64" w:rsidP="00101B64">
      <w:pPr>
        <w:contextualSpacing/>
        <w:jc w:val="both"/>
        <w:rPr>
          <w:rFonts w:ascii="Book Antiqua" w:hAnsi="Book Antiqua" w:cs="Arial Hebrew"/>
          <w:b/>
          <w:bCs/>
          <w:sz w:val="22"/>
          <w:szCs w:val="22"/>
        </w:rPr>
      </w:pPr>
      <w:r w:rsidRPr="00390189">
        <w:rPr>
          <w:rFonts w:ascii="Book Antiqua" w:hAnsi="Book Antiqua" w:cs="Arial Hebrew"/>
          <w:b/>
          <w:bCs/>
          <w:sz w:val="22"/>
          <w:szCs w:val="22"/>
        </w:rPr>
        <w:t>Methods &amp; Definitions</w:t>
      </w:r>
    </w:p>
    <w:p w14:paraId="5250429B" w14:textId="343328FC" w:rsidR="00101B64" w:rsidRDefault="00101B64" w:rsidP="00101B64">
      <w:pPr>
        <w:contextualSpacing/>
        <w:jc w:val="both"/>
        <w:rPr>
          <w:rFonts w:ascii="Book Antiqua" w:hAnsi="Book Antiqua" w:cs="Arial Hebrew"/>
          <w:sz w:val="22"/>
          <w:szCs w:val="22"/>
        </w:rPr>
      </w:pPr>
      <w:r w:rsidRPr="00390189">
        <w:rPr>
          <w:rFonts w:ascii="Book Antiqua" w:hAnsi="Book Antiqua" w:cs="Arial Hebrew"/>
          <w:sz w:val="22"/>
          <w:szCs w:val="22"/>
        </w:rPr>
        <w:t xml:space="preserve">To better understand the course of the COVID-19 pandemic in Kearney, Lexington and Holdrege, we created ‘urban areas’ that included both the city and its surrounding towns. We included all towns within 20 miles of Kearney city, 15 miles of Lexington and 10 miles of Holdrege within each city’s urban area. </w:t>
      </w:r>
      <w:r w:rsidR="00211F69">
        <w:rPr>
          <w:rFonts w:ascii="Book Antiqua" w:hAnsi="Book Antiqua" w:cs="Arial Hebrew"/>
          <w:sz w:val="22"/>
          <w:szCs w:val="22"/>
        </w:rPr>
        <w:t xml:space="preserve">The respective populations of all 7 counties in TRPHD are shown below. </w:t>
      </w:r>
      <w:r w:rsidR="00577C27">
        <w:rPr>
          <w:rFonts w:ascii="Book Antiqua" w:hAnsi="Book Antiqua" w:cs="Arial Hebrew"/>
          <w:sz w:val="22"/>
          <w:szCs w:val="22"/>
        </w:rPr>
        <w:t>Kearney</w:t>
      </w:r>
      <w:r w:rsidR="00211F69">
        <w:rPr>
          <w:rFonts w:ascii="Book Antiqua" w:hAnsi="Book Antiqua" w:cs="Arial Hebrew"/>
          <w:sz w:val="22"/>
          <w:szCs w:val="22"/>
        </w:rPr>
        <w:t xml:space="preserve"> city accounts for over </w:t>
      </w:r>
      <w:r w:rsidR="00577C27">
        <w:rPr>
          <w:rFonts w:ascii="Book Antiqua" w:hAnsi="Book Antiqua" w:cs="Arial Hebrew"/>
          <w:sz w:val="22"/>
          <w:szCs w:val="22"/>
        </w:rPr>
        <w:t>third</w:t>
      </w:r>
      <w:r w:rsidR="00211F69">
        <w:rPr>
          <w:rFonts w:ascii="Book Antiqua" w:hAnsi="Book Antiqua" w:cs="Arial Hebrew"/>
          <w:sz w:val="22"/>
          <w:szCs w:val="22"/>
        </w:rPr>
        <w:t xml:space="preserve"> of the population of </w:t>
      </w:r>
      <w:r w:rsidR="00577C27">
        <w:rPr>
          <w:rFonts w:ascii="Book Antiqua" w:hAnsi="Book Antiqua" w:cs="Arial Hebrew"/>
          <w:sz w:val="22"/>
          <w:szCs w:val="22"/>
        </w:rPr>
        <w:t>TRPHD</w:t>
      </w:r>
      <w:r w:rsidR="00211F69">
        <w:rPr>
          <w:rFonts w:ascii="Book Antiqua" w:hAnsi="Book Antiqua" w:cs="Arial Hebrew"/>
          <w:sz w:val="22"/>
          <w:szCs w:val="22"/>
        </w:rPr>
        <w:t>.</w:t>
      </w:r>
    </w:p>
    <w:p w14:paraId="1214C16B" w14:textId="414CE0B1" w:rsidR="00211F69" w:rsidRDefault="00211F69" w:rsidP="00101B64">
      <w:pPr>
        <w:contextualSpacing/>
        <w:jc w:val="both"/>
        <w:rPr>
          <w:rFonts w:ascii="Book Antiqua" w:hAnsi="Book Antiqua" w:cs="Arial Hebrew"/>
          <w:sz w:val="22"/>
          <w:szCs w:val="22"/>
        </w:rPr>
      </w:pPr>
    </w:p>
    <w:tbl>
      <w:tblPr>
        <w:tblStyle w:val="TableGrid"/>
        <w:tblW w:w="0" w:type="auto"/>
        <w:tblLook w:val="04A0" w:firstRow="1" w:lastRow="0" w:firstColumn="1" w:lastColumn="0" w:noHBand="0" w:noVBand="1"/>
      </w:tblPr>
      <w:tblGrid>
        <w:gridCol w:w="4675"/>
        <w:gridCol w:w="4675"/>
      </w:tblGrid>
      <w:tr w:rsidR="00211F69" w14:paraId="4EA7F4DB" w14:textId="77777777" w:rsidTr="00211F69">
        <w:tc>
          <w:tcPr>
            <w:tcW w:w="4675" w:type="dxa"/>
            <w:shd w:val="clear" w:color="auto" w:fill="D9D9D9" w:themeFill="background1" w:themeFillShade="D9"/>
          </w:tcPr>
          <w:p w14:paraId="14B701AC" w14:textId="0092EDF2" w:rsidR="00211F69" w:rsidRPr="00211F69" w:rsidRDefault="00211F69" w:rsidP="00211F69">
            <w:pPr>
              <w:contextualSpacing/>
              <w:jc w:val="center"/>
              <w:rPr>
                <w:rFonts w:ascii="Book Antiqua" w:hAnsi="Book Antiqua" w:cs="Arial Hebrew"/>
                <w:b/>
                <w:bCs/>
                <w:sz w:val="22"/>
                <w:szCs w:val="22"/>
              </w:rPr>
            </w:pPr>
            <w:r w:rsidRPr="00211F69">
              <w:rPr>
                <w:rFonts w:ascii="Book Antiqua" w:hAnsi="Book Antiqua" w:cs="Arial Hebrew"/>
                <w:b/>
                <w:bCs/>
                <w:sz w:val="22"/>
                <w:szCs w:val="22"/>
              </w:rPr>
              <w:t>County</w:t>
            </w:r>
          </w:p>
        </w:tc>
        <w:tc>
          <w:tcPr>
            <w:tcW w:w="4675" w:type="dxa"/>
            <w:shd w:val="clear" w:color="auto" w:fill="D9D9D9" w:themeFill="background1" w:themeFillShade="D9"/>
          </w:tcPr>
          <w:p w14:paraId="4BC7E4F9" w14:textId="6A2C279C" w:rsidR="00211F69" w:rsidRPr="00211F69" w:rsidRDefault="00211F69" w:rsidP="00211F69">
            <w:pPr>
              <w:contextualSpacing/>
              <w:jc w:val="center"/>
              <w:rPr>
                <w:rFonts w:ascii="Book Antiqua" w:hAnsi="Book Antiqua" w:cs="Arial Hebrew"/>
                <w:b/>
                <w:bCs/>
                <w:sz w:val="22"/>
                <w:szCs w:val="22"/>
              </w:rPr>
            </w:pPr>
            <w:r w:rsidRPr="00211F69">
              <w:rPr>
                <w:rFonts w:ascii="Book Antiqua" w:hAnsi="Book Antiqua" w:cs="Arial Hebrew"/>
                <w:b/>
                <w:bCs/>
                <w:sz w:val="22"/>
                <w:szCs w:val="22"/>
              </w:rPr>
              <w:t>Population</w:t>
            </w:r>
          </w:p>
        </w:tc>
      </w:tr>
      <w:tr w:rsidR="00211F69" w14:paraId="350D2F11" w14:textId="77777777" w:rsidTr="00211F69">
        <w:tc>
          <w:tcPr>
            <w:tcW w:w="4675" w:type="dxa"/>
          </w:tcPr>
          <w:p w14:paraId="2951DB1B" w14:textId="71089C2E" w:rsidR="00211F69" w:rsidRDefault="00211F69" w:rsidP="00101B64">
            <w:pPr>
              <w:contextualSpacing/>
              <w:jc w:val="both"/>
              <w:rPr>
                <w:rFonts w:ascii="Book Antiqua" w:hAnsi="Book Antiqua" w:cs="Arial Hebrew"/>
                <w:sz w:val="22"/>
                <w:szCs w:val="22"/>
              </w:rPr>
            </w:pPr>
            <w:r>
              <w:rPr>
                <w:rFonts w:ascii="Book Antiqua" w:hAnsi="Book Antiqua" w:cs="Arial Hebrew"/>
                <w:sz w:val="22"/>
                <w:szCs w:val="22"/>
              </w:rPr>
              <w:t>Buffalo</w:t>
            </w:r>
          </w:p>
        </w:tc>
        <w:tc>
          <w:tcPr>
            <w:tcW w:w="4675" w:type="dxa"/>
          </w:tcPr>
          <w:p w14:paraId="444F661D" w14:textId="5B3BFA71" w:rsidR="00211F69" w:rsidRDefault="00211F69" w:rsidP="00211F69">
            <w:pPr>
              <w:contextualSpacing/>
              <w:jc w:val="center"/>
              <w:rPr>
                <w:rFonts w:ascii="Book Antiqua" w:hAnsi="Book Antiqua" w:cs="Arial Hebrew"/>
                <w:sz w:val="22"/>
                <w:szCs w:val="22"/>
              </w:rPr>
            </w:pPr>
            <w:r>
              <w:rPr>
                <w:rFonts w:ascii="Book Antiqua" w:hAnsi="Book Antiqua" w:cs="Arial Hebrew"/>
                <w:sz w:val="22"/>
                <w:szCs w:val="22"/>
              </w:rPr>
              <w:t>49,659</w:t>
            </w:r>
          </w:p>
        </w:tc>
      </w:tr>
      <w:tr w:rsidR="00211F69" w14:paraId="2735198A" w14:textId="77777777" w:rsidTr="00211F69">
        <w:tc>
          <w:tcPr>
            <w:tcW w:w="4675" w:type="dxa"/>
          </w:tcPr>
          <w:p w14:paraId="1C694B94" w14:textId="55F014F4" w:rsidR="00211F69" w:rsidRDefault="00211F69" w:rsidP="00101B64">
            <w:pPr>
              <w:contextualSpacing/>
              <w:jc w:val="both"/>
              <w:rPr>
                <w:rFonts w:ascii="Book Antiqua" w:hAnsi="Book Antiqua" w:cs="Arial Hebrew"/>
                <w:sz w:val="22"/>
                <w:szCs w:val="22"/>
              </w:rPr>
            </w:pPr>
            <w:r>
              <w:rPr>
                <w:rFonts w:ascii="Book Antiqua" w:hAnsi="Book Antiqua" w:cs="Arial Hebrew"/>
                <w:sz w:val="22"/>
                <w:szCs w:val="22"/>
              </w:rPr>
              <w:t>Dawson</w:t>
            </w:r>
          </w:p>
        </w:tc>
        <w:tc>
          <w:tcPr>
            <w:tcW w:w="4675" w:type="dxa"/>
          </w:tcPr>
          <w:p w14:paraId="0E853453" w14:textId="7930ABCE" w:rsidR="00211F69" w:rsidRDefault="00211F69" w:rsidP="00211F69">
            <w:pPr>
              <w:contextualSpacing/>
              <w:jc w:val="center"/>
              <w:rPr>
                <w:rFonts w:ascii="Book Antiqua" w:hAnsi="Book Antiqua" w:cs="Arial Hebrew"/>
                <w:sz w:val="22"/>
                <w:szCs w:val="22"/>
              </w:rPr>
            </w:pPr>
            <w:r>
              <w:rPr>
                <w:rFonts w:ascii="Book Antiqua" w:hAnsi="Book Antiqua" w:cs="Arial Hebrew"/>
                <w:sz w:val="22"/>
                <w:szCs w:val="22"/>
              </w:rPr>
              <w:t>23,595</w:t>
            </w:r>
          </w:p>
        </w:tc>
      </w:tr>
      <w:tr w:rsidR="00211F69" w14:paraId="721E0A34" w14:textId="77777777" w:rsidTr="00211F69">
        <w:tc>
          <w:tcPr>
            <w:tcW w:w="4675" w:type="dxa"/>
          </w:tcPr>
          <w:p w14:paraId="3B217E40" w14:textId="1044082D" w:rsidR="00211F69" w:rsidRDefault="00211F69" w:rsidP="00101B64">
            <w:pPr>
              <w:contextualSpacing/>
              <w:jc w:val="both"/>
              <w:rPr>
                <w:rFonts w:ascii="Book Antiqua" w:hAnsi="Book Antiqua" w:cs="Arial Hebrew"/>
                <w:sz w:val="22"/>
                <w:szCs w:val="22"/>
              </w:rPr>
            </w:pPr>
            <w:r>
              <w:rPr>
                <w:rFonts w:ascii="Book Antiqua" w:hAnsi="Book Antiqua" w:cs="Arial Hebrew"/>
                <w:sz w:val="22"/>
                <w:szCs w:val="22"/>
              </w:rPr>
              <w:t>Franklin</w:t>
            </w:r>
          </w:p>
        </w:tc>
        <w:tc>
          <w:tcPr>
            <w:tcW w:w="4675" w:type="dxa"/>
          </w:tcPr>
          <w:p w14:paraId="0EF54328" w14:textId="58817349" w:rsidR="00211F69" w:rsidRDefault="00211F69" w:rsidP="00211F69">
            <w:pPr>
              <w:contextualSpacing/>
              <w:jc w:val="center"/>
              <w:rPr>
                <w:rFonts w:ascii="Book Antiqua" w:hAnsi="Book Antiqua" w:cs="Arial Hebrew"/>
                <w:sz w:val="22"/>
                <w:szCs w:val="22"/>
              </w:rPr>
            </w:pPr>
            <w:r>
              <w:rPr>
                <w:rFonts w:ascii="Book Antiqua" w:hAnsi="Book Antiqua" w:cs="Arial Hebrew"/>
                <w:sz w:val="22"/>
                <w:szCs w:val="22"/>
              </w:rPr>
              <w:t>2,979</w:t>
            </w:r>
          </w:p>
        </w:tc>
      </w:tr>
      <w:tr w:rsidR="00211F69" w14:paraId="413DBBA0" w14:textId="77777777" w:rsidTr="00211F69">
        <w:tc>
          <w:tcPr>
            <w:tcW w:w="4675" w:type="dxa"/>
          </w:tcPr>
          <w:p w14:paraId="057A6155" w14:textId="1EB9B458" w:rsidR="00211F69" w:rsidRDefault="00211F69" w:rsidP="00101B64">
            <w:pPr>
              <w:contextualSpacing/>
              <w:jc w:val="both"/>
              <w:rPr>
                <w:rFonts w:ascii="Book Antiqua" w:hAnsi="Book Antiqua" w:cs="Arial Hebrew"/>
                <w:sz w:val="22"/>
                <w:szCs w:val="22"/>
              </w:rPr>
            </w:pPr>
            <w:r>
              <w:rPr>
                <w:rFonts w:ascii="Book Antiqua" w:hAnsi="Book Antiqua" w:cs="Arial Hebrew"/>
                <w:sz w:val="22"/>
                <w:szCs w:val="22"/>
              </w:rPr>
              <w:t>Gosper</w:t>
            </w:r>
          </w:p>
        </w:tc>
        <w:tc>
          <w:tcPr>
            <w:tcW w:w="4675" w:type="dxa"/>
          </w:tcPr>
          <w:p w14:paraId="42F4B7D8" w14:textId="41F11362" w:rsidR="00211F69" w:rsidRDefault="00211F69" w:rsidP="00211F69">
            <w:pPr>
              <w:contextualSpacing/>
              <w:jc w:val="center"/>
              <w:rPr>
                <w:rFonts w:ascii="Book Antiqua" w:hAnsi="Book Antiqua" w:cs="Arial Hebrew"/>
                <w:sz w:val="22"/>
                <w:szCs w:val="22"/>
              </w:rPr>
            </w:pPr>
            <w:r>
              <w:rPr>
                <w:rFonts w:ascii="Book Antiqua" w:hAnsi="Book Antiqua" w:cs="Arial Hebrew"/>
                <w:sz w:val="22"/>
                <w:szCs w:val="22"/>
              </w:rPr>
              <w:t>1,990</w:t>
            </w:r>
          </w:p>
        </w:tc>
      </w:tr>
      <w:tr w:rsidR="00211F69" w14:paraId="3CAB3AA7" w14:textId="77777777" w:rsidTr="00211F69">
        <w:tc>
          <w:tcPr>
            <w:tcW w:w="4675" w:type="dxa"/>
          </w:tcPr>
          <w:p w14:paraId="7853C103" w14:textId="316613E2" w:rsidR="00211F69" w:rsidRDefault="00211F69" w:rsidP="00101B64">
            <w:pPr>
              <w:contextualSpacing/>
              <w:jc w:val="both"/>
              <w:rPr>
                <w:rFonts w:ascii="Book Antiqua" w:hAnsi="Book Antiqua" w:cs="Arial Hebrew"/>
                <w:sz w:val="22"/>
                <w:szCs w:val="22"/>
              </w:rPr>
            </w:pPr>
            <w:r>
              <w:rPr>
                <w:rFonts w:ascii="Book Antiqua" w:hAnsi="Book Antiqua" w:cs="Arial Hebrew"/>
                <w:sz w:val="22"/>
                <w:szCs w:val="22"/>
              </w:rPr>
              <w:t>Harlan</w:t>
            </w:r>
          </w:p>
        </w:tc>
        <w:tc>
          <w:tcPr>
            <w:tcW w:w="4675" w:type="dxa"/>
          </w:tcPr>
          <w:p w14:paraId="402092C4" w14:textId="702E7951" w:rsidR="00211F69" w:rsidRDefault="00211F69" w:rsidP="00211F69">
            <w:pPr>
              <w:contextualSpacing/>
              <w:jc w:val="center"/>
              <w:rPr>
                <w:rFonts w:ascii="Book Antiqua" w:hAnsi="Book Antiqua" w:cs="Arial Hebrew"/>
                <w:sz w:val="22"/>
                <w:szCs w:val="22"/>
              </w:rPr>
            </w:pPr>
            <w:r>
              <w:rPr>
                <w:rFonts w:ascii="Book Antiqua" w:hAnsi="Book Antiqua" w:cs="Arial Hebrew"/>
                <w:sz w:val="22"/>
                <w:szCs w:val="22"/>
              </w:rPr>
              <w:t>3,380</w:t>
            </w:r>
          </w:p>
        </w:tc>
      </w:tr>
      <w:tr w:rsidR="00211F69" w14:paraId="26940C1B" w14:textId="77777777" w:rsidTr="00211F69">
        <w:tc>
          <w:tcPr>
            <w:tcW w:w="4675" w:type="dxa"/>
          </w:tcPr>
          <w:p w14:paraId="0FF5DD28" w14:textId="7FC1976F" w:rsidR="00211F69" w:rsidRDefault="00211F69" w:rsidP="00101B64">
            <w:pPr>
              <w:contextualSpacing/>
              <w:jc w:val="both"/>
              <w:rPr>
                <w:rFonts w:ascii="Book Antiqua" w:hAnsi="Book Antiqua" w:cs="Arial Hebrew"/>
                <w:sz w:val="22"/>
                <w:szCs w:val="22"/>
              </w:rPr>
            </w:pPr>
            <w:r>
              <w:rPr>
                <w:rFonts w:ascii="Book Antiqua" w:hAnsi="Book Antiqua" w:cs="Arial Hebrew"/>
                <w:sz w:val="22"/>
                <w:szCs w:val="22"/>
              </w:rPr>
              <w:t>Kearney</w:t>
            </w:r>
          </w:p>
        </w:tc>
        <w:tc>
          <w:tcPr>
            <w:tcW w:w="4675" w:type="dxa"/>
          </w:tcPr>
          <w:p w14:paraId="6631FBC1" w14:textId="6759841F" w:rsidR="00211F69" w:rsidRDefault="00211F69" w:rsidP="00211F69">
            <w:pPr>
              <w:contextualSpacing/>
              <w:jc w:val="center"/>
              <w:rPr>
                <w:rFonts w:ascii="Book Antiqua" w:hAnsi="Book Antiqua" w:cs="Arial Hebrew"/>
                <w:sz w:val="22"/>
                <w:szCs w:val="22"/>
              </w:rPr>
            </w:pPr>
            <w:r>
              <w:rPr>
                <w:rFonts w:ascii="Book Antiqua" w:hAnsi="Book Antiqua" w:cs="Arial Hebrew"/>
                <w:sz w:val="22"/>
                <w:szCs w:val="22"/>
              </w:rPr>
              <w:t>6,495</w:t>
            </w:r>
          </w:p>
        </w:tc>
      </w:tr>
      <w:tr w:rsidR="00211F69" w14:paraId="7EA87304" w14:textId="77777777" w:rsidTr="00211F69">
        <w:tc>
          <w:tcPr>
            <w:tcW w:w="4675" w:type="dxa"/>
          </w:tcPr>
          <w:p w14:paraId="18A13E5A" w14:textId="483A6C6A" w:rsidR="00211F69" w:rsidRDefault="00211F69" w:rsidP="00101B64">
            <w:pPr>
              <w:contextualSpacing/>
              <w:jc w:val="both"/>
              <w:rPr>
                <w:rFonts w:ascii="Book Antiqua" w:hAnsi="Book Antiqua" w:cs="Arial Hebrew"/>
                <w:sz w:val="22"/>
                <w:szCs w:val="22"/>
              </w:rPr>
            </w:pPr>
            <w:r>
              <w:rPr>
                <w:rFonts w:ascii="Book Antiqua" w:hAnsi="Book Antiqua" w:cs="Arial Hebrew"/>
                <w:sz w:val="22"/>
                <w:szCs w:val="22"/>
              </w:rPr>
              <w:t>Phelps</w:t>
            </w:r>
          </w:p>
        </w:tc>
        <w:tc>
          <w:tcPr>
            <w:tcW w:w="4675" w:type="dxa"/>
          </w:tcPr>
          <w:p w14:paraId="7CE1D4AA" w14:textId="151BD225" w:rsidR="00211F69" w:rsidRDefault="00211F69" w:rsidP="00211F69">
            <w:pPr>
              <w:contextualSpacing/>
              <w:jc w:val="center"/>
              <w:rPr>
                <w:rFonts w:ascii="Book Antiqua" w:hAnsi="Book Antiqua" w:cs="Arial Hebrew"/>
                <w:sz w:val="22"/>
                <w:szCs w:val="22"/>
              </w:rPr>
            </w:pPr>
            <w:r>
              <w:rPr>
                <w:rFonts w:ascii="Book Antiqua" w:hAnsi="Book Antiqua" w:cs="Arial Hebrew"/>
                <w:sz w:val="22"/>
                <w:szCs w:val="22"/>
              </w:rPr>
              <w:t>9,034</w:t>
            </w:r>
          </w:p>
        </w:tc>
      </w:tr>
      <w:tr w:rsidR="00211F69" w:rsidRPr="00211F69" w14:paraId="58656D90" w14:textId="77777777" w:rsidTr="00211F69">
        <w:tc>
          <w:tcPr>
            <w:tcW w:w="4675" w:type="dxa"/>
            <w:shd w:val="clear" w:color="auto" w:fill="D9D9D9" w:themeFill="background1" w:themeFillShade="D9"/>
          </w:tcPr>
          <w:p w14:paraId="1F516AFF" w14:textId="1F78AD05" w:rsidR="00211F69" w:rsidRPr="00211F69" w:rsidRDefault="00211F69" w:rsidP="00101B64">
            <w:pPr>
              <w:contextualSpacing/>
              <w:jc w:val="both"/>
              <w:rPr>
                <w:rFonts w:ascii="Book Antiqua" w:hAnsi="Book Antiqua" w:cs="Arial Hebrew"/>
                <w:b/>
                <w:bCs/>
                <w:sz w:val="22"/>
                <w:szCs w:val="22"/>
              </w:rPr>
            </w:pPr>
            <w:r w:rsidRPr="00211F69">
              <w:rPr>
                <w:rFonts w:ascii="Book Antiqua" w:hAnsi="Book Antiqua" w:cs="Arial Hebrew"/>
                <w:b/>
                <w:bCs/>
                <w:sz w:val="22"/>
                <w:szCs w:val="22"/>
              </w:rPr>
              <w:t>TRPHD</w:t>
            </w:r>
            <w:r>
              <w:rPr>
                <w:rFonts w:ascii="Book Antiqua" w:hAnsi="Book Antiqua" w:cs="Arial Hebrew"/>
                <w:b/>
                <w:bCs/>
                <w:sz w:val="22"/>
                <w:szCs w:val="22"/>
              </w:rPr>
              <w:t xml:space="preserve"> total</w:t>
            </w:r>
          </w:p>
        </w:tc>
        <w:tc>
          <w:tcPr>
            <w:tcW w:w="4675" w:type="dxa"/>
            <w:shd w:val="clear" w:color="auto" w:fill="D9D9D9" w:themeFill="background1" w:themeFillShade="D9"/>
          </w:tcPr>
          <w:p w14:paraId="11828CEF" w14:textId="767F84F0" w:rsidR="00211F69" w:rsidRPr="00211F69" w:rsidRDefault="00211F69" w:rsidP="00211F69">
            <w:pPr>
              <w:contextualSpacing/>
              <w:jc w:val="center"/>
              <w:rPr>
                <w:rFonts w:ascii="Book Antiqua" w:hAnsi="Book Antiqua" w:cs="Arial Hebrew"/>
                <w:b/>
                <w:bCs/>
                <w:sz w:val="22"/>
                <w:szCs w:val="22"/>
              </w:rPr>
            </w:pPr>
            <w:r>
              <w:rPr>
                <w:rFonts w:ascii="Book Antiqua" w:hAnsi="Book Antiqua" w:cs="Arial Hebrew"/>
                <w:b/>
                <w:bCs/>
                <w:sz w:val="22"/>
                <w:szCs w:val="22"/>
              </w:rPr>
              <w:t>97,132</w:t>
            </w:r>
          </w:p>
        </w:tc>
      </w:tr>
      <w:tr w:rsidR="00211F69" w14:paraId="069EB8FF" w14:textId="77777777" w:rsidTr="00211F69">
        <w:tc>
          <w:tcPr>
            <w:tcW w:w="4675" w:type="dxa"/>
            <w:shd w:val="clear" w:color="auto" w:fill="D9D9D9" w:themeFill="background1" w:themeFillShade="D9"/>
          </w:tcPr>
          <w:p w14:paraId="462904C1" w14:textId="7FE498A9" w:rsidR="00211F69" w:rsidRDefault="00211F69" w:rsidP="00101B64">
            <w:pPr>
              <w:contextualSpacing/>
              <w:jc w:val="both"/>
              <w:rPr>
                <w:rFonts w:ascii="Book Antiqua" w:hAnsi="Book Antiqua" w:cs="Arial Hebrew"/>
                <w:sz w:val="22"/>
                <w:szCs w:val="22"/>
              </w:rPr>
            </w:pPr>
            <w:r>
              <w:rPr>
                <w:rFonts w:ascii="Book Antiqua" w:hAnsi="Book Antiqua" w:cs="Arial Hebrew"/>
                <w:sz w:val="22"/>
                <w:szCs w:val="22"/>
              </w:rPr>
              <w:t>Nebraska state</w:t>
            </w:r>
          </w:p>
        </w:tc>
        <w:tc>
          <w:tcPr>
            <w:tcW w:w="4675" w:type="dxa"/>
            <w:shd w:val="clear" w:color="auto" w:fill="D9D9D9" w:themeFill="background1" w:themeFillShade="D9"/>
          </w:tcPr>
          <w:p w14:paraId="2EA838FB" w14:textId="00F29D0C" w:rsidR="00211F69" w:rsidRDefault="00211F69" w:rsidP="00211F69">
            <w:pPr>
              <w:contextualSpacing/>
              <w:jc w:val="center"/>
              <w:rPr>
                <w:rFonts w:ascii="Book Antiqua" w:hAnsi="Book Antiqua" w:cs="Arial Hebrew"/>
                <w:sz w:val="22"/>
                <w:szCs w:val="22"/>
              </w:rPr>
            </w:pPr>
            <w:r>
              <w:rPr>
                <w:rFonts w:ascii="Book Antiqua" w:hAnsi="Book Antiqua" w:cs="Arial Hebrew"/>
                <w:sz w:val="22"/>
                <w:szCs w:val="22"/>
              </w:rPr>
              <w:t>1,934,408</w:t>
            </w:r>
          </w:p>
        </w:tc>
      </w:tr>
    </w:tbl>
    <w:p w14:paraId="3D54B055" w14:textId="77777777" w:rsidR="00211F69" w:rsidRDefault="00211F69" w:rsidP="00101B64">
      <w:pPr>
        <w:contextualSpacing/>
        <w:jc w:val="both"/>
        <w:rPr>
          <w:rFonts w:ascii="Book Antiqua" w:hAnsi="Book Antiqua" w:cs="Arial Hebrew"/>
          <w:sz w:val="22"/>
          <w:szCs w:val="22"/>
        </w:rPr>
      </w:pPr>
    </w:p>
    <w:p w14:paraId="712BA1C0" w14:textId="4FFAD4C6" w:rsidR="00101B64" w:rsidRPr="00390189" w:rsidRDefault="00101B64" w:rsidP="00101B64">
      <w:pPr>
        <w:contextualSpacing/>
        <w:jc w:val="both"/>
        <w:rPr>
          <w:rFonts w:ascii="Book Antiqua" w:hAnsi="Book Antiqua" w:cs="Arial Hebrew"/>
          <w:sz w:val="22"/>
          <w:szCs w:val="22"/>
        </w:rPr>
      </w:pPr>
      <w:r w:rsidRPr="00390189">
        <w:rPr>
          <w:rFonts w:ascii="Book Antiqua" w:hAnsi="Book Antiqua" w:cs="Arial Hebrew"/>
          <w:sz w:val="22"/>
          <w:szCs w:val="22"/>
        </w:rPr>
        <w:t xml:space="preserve">Thus “Kearney area” includes Kearney city as well as Elm Creek, Pleasanton, Amherst, Riverdale, </w:t>
      </w:r>
      <w:r w:rsidR="00412473">
        <w:rPr>
          <w:rFonts w:ascii="Book Antiqua" w:hAnsi="Book Antiqua" w:cs="Arial Hebrew"/>
          <w:sz w:val="22"/>
          <w:szCs w:val="22"/>
        </w:rPr>
        <w:t xml:space="preserve">Odessa, </w:t>
      </w:r>
      <w:r w:rsidRPr="00390189">
        <w:rPr>
          <w:rFonts w:ascii="Book Antiqua" w:hAnsi="Book Antiqua" w:cs="Arial Hebrew"/>
          <w:sz w:val="22"/>
          <w:szCs w:val="22"/>
        </w:rPr>
        <w:t xml:space="preserve">Gibbon, Shelton and Axtell. </w:t>
      </w:r>
    </w:p>
    <w:p w14:paraId="31E93DDC" w14:textId="77777777" w:rsidR="00101B64" w:rsidRPr="00390189" w:rsidRDefault="00101B64" w:rsidP="00101B64">
      <w:pPr>
        <w:contextualSpacing/>
        <w:jc w:val="both"/>
        <w:rPr>
          <w:rFonts w:ascii="Georgia" w:hAnsi="Georgia" w:cstheme="minorBidi"/>
          <w:sz w:val="22"/>
          <w:szCs w:val="22"/>
        </w:rPr>
      </w:pPr>
      <w:r w:rsidRPr="00390189">
        <w:rPr>
          <w:rFonts w:ascii="Georgia" w:hAnsi="Georgia"/>
          <w:sz w:val="22"/>
          <w:szCs w:val="22"/>
        </w:rPr>
        <w:t>“Lexington area” includes Lexington city as well as Overton, Johnson Lake and Cozad.</w:t>
      </w:r>
    </w:p>
    <w:p w14:paraId="5BF6E52E" w14:textId="7EB2BFDB" w:rsidR="00101B64" w:rsidRDefault="00101B64" w:rsidP="00101B64">
      <w:pPr>
        <w:contextualSpacing/>
        <w:jc w:val="both"/>
        <w:rPr>
          <w:rFonts w:ascii="Book Antiqua" w:hAnsi="Book Antiqua" w:cs="Arial Hebrew"/>
          <w:sz w:val="22"/>
          <w:szCs w:val="22"/>
        </w:rPr>
      </w:pPr>
      <w:r w:rsidRPr="00390189">
        <w:rPr>
          <w:rFonts w:ascii="Book Antiqua" w:hAnsi="Book Antiqua" w:cs="Arial Hebrew"/>
          <w:sz w:val="22"/>
          <w:szCs w:val="22"/>
        </w:rPr>
        <w:t>“Holdrege area” includes Holdrege city, Loomis and Funk.</w:t>
      </w:r>
    </w:p>
    <w:p w14:paraId="2A771E95" w14:textId="77777777" w:rsidR="0019182D" w:rsidRPr="00390189" w:rsidRDefault="0019182D" w:rsidP="00101B64">
      <w:pPr>
        <w:contextualSpacing/>
        <w:jc w:val="both"/>
        <w:rPr>
          <w:rFonts w:ascii="Book Antiqua" w:hAnsi="Book Antiqua" w:cs="Arial Hebrew"/>
          <w:sz w:val="22"/>
          <w:szCs w:val="22"/>
        </w:rPr>
      </w:pPr>
    </w:p>
    <w:p w14:paraId="29C301C2" w14:textId="51094E19" w:rsidR="00101B64" w:rsidRDefault="0019182D" w:rsidP="00101B64">
      <w:pPr>
        <w:contextualSpacing/>
        <w:jc w:val="both"/>
        <w:rPr>
          <w:rFonts w:ascii="Book Antiqua" w:hAnsi="Book Antiqua" w:cs="Arial Hebrew"/>
          <w:sz w:val="22"/>
          <w:szCs w:val="22"/>
        </w:rPr>
      </w:pPr>
      <w:r>
        <w:rPr>
          <w:rFonts w:ascii="Book Antiqua" w:hAnsi="Book Antiqua" w:cs="Arial Hebrew"/>
          <w:sz w:val="22"/>
          <w:szCs w:val="22"/>
        </w:rPr>
        <w:t>The populations of cities</w:t>
      </w:r>
      <w:r w:rsidR="00F54D27">
        <w:rPr>
          <w:rFonts w:ascii="Book Antiqua" w:hAnsi="Book Antiqua" w:cs="Arial Hebrew"/>
          <w:sz w:val="22"/>
          <w:szCs w:val="22"/>
        </w:rPr>
        <w:t xml:space="preserve"> and villages </w:t>
      </w:r>
      <w:r>
        <w:rPr>
          <w:rFonts w:ascii="Book Antiqua" w:hAnsi="Book Antiqua" w:cs="Arial Hebrew"/>
          <w:sz w:val="22"/>
          <w:szCs w:val="22"/>
        </w:rPr>
        <w:t>is described below.</w:t>
      </w:r>
      <w:r w:rsidR="0066604D">
        <w:rPr>
          <w:rFonts w:ascii="Book Antiqua" w:hAnsi="Book Antiqua" w:cs="Arial Hebrew"/>
          <w:sz w:val="22"/>
          <w:szCs w:val="22"/>
        </w:rPr>
        <w:t xml:space="preserve"> Also included are Minden and Gothenburg, used as comparison points in descriptive statistics about the area.</w:t>
      </w:r>
    </w:p>
    <w:p w14:paraId="5A766136" w14:textId="77777777" w:rsidR="0019182D" w:rsidRDefault="0019182D" w:rsidP="00101B64">
      <w:pPr>
        <w:contextualSpacing/>
        <w:jc w:val="both"/>
        <w:rPr>
          <w:rFonts w:ascii="Book Antiqua" w:hAnsi="Book Antiqua" w:cs="Arial Hebrew"/>
          <w:sz w:val="22"/>
          <w:szCs w:val="22"/>
        </w:rPr>
      </w:pPr>
    </w:p>
    <w:tbl>
      <w:tblPr>
        <w:tblW w:w="5480" w:type="dxa"/>
        <w:tblLook w:val="04A0" w:firstRow="1" w:lastRow="0" w:firstColumn="1" w:lastColumn="0" w:noHBand="0" w:noVBand="1"/>
      </w:tblPr>
      <w:tblGrid>
        <w:gridCol w:w="4495"/>
        <w:gridCol w:w="1744"/>
      </w:tblGrid>
      <w:tr w:rsidR="0019182D" w:rsidRPr="0019182D" w14:paraId="286F2FDF" w14:textId="77777777" w:rsidTr="0019182D">
        <w:trPr>
          <w:trHeight w:val="320"/>
        </w:trPr>
        <w:tc>
          <w:tcPr>
            <w:tcW w:w="4495"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0DC9EC1" w14:textId="77777777" w:rsidR="0019182D" w:rsidRPr="0019182D" w:rsidRDefault="0019182D" w:rsidP="0019182D">
            <w:pPr>
              <w:rPr>
                <w:rFonts w:ascii="Book Antiqua" w:hAnsi="Book Antiqua"/>
                <w:b/>
                <w:bCs/>
                <w:color w:val="000000"/>
                <w:sz w:val="22"/>
                <w:szCs w:val="22"/>
              </w:rPr>
            </w:pPr>
            <w:r w:rsidRPr="0019182D">
              <w:rPr>
                <w:rFonts w:ascii="Book Antiqua" w:hAnsi="Book Antiqua"/>
                <w:b/>
                <w:bCs/>
                <w:color w:val="000000"/>
                <w:sz w:val="22"/>
                <w:szCs w:val="22"/>
              </w:rPr>
              <w:t>CITY</w:t>
            </w:r>
          </w:p>
        </w:tc>
        <w:tc>
          <w:tcPr>
            <w:tcW w:w="985" w:type="dxa"/>
            <w:tcBorders>
              <w:top w:val="single" w:sz="4" w:space="0" w:color="auto"/>
              <w:left w:val="nil"/>
              <w:bottom w:val="single" w:sz="4" w:space="0" w:color="auto"/>
              <w:right w:val="single" w:sz="4" w:space="0" w:color="auto"/>
            </w:tcBorders>
            <w:shd w:val="clear" w:color="000000" w:fill="D0CECE"/>
            <w:noWrap/>
            <w:vAlign w:val="bottom"/>
            <w:hideMark/>
          </w:tcPr>
          <w:p w14:paraId="7AC310FA" w14:textId="77777777" w:rsidR="0019182D" w:rsidRPr="0019182D" w:rsidRDefault="0019182D" w:rsidP="0019182D">
            <w:pPr>
              <w:rPr>
                <w:rFonts w:ascii="Book Antiqua" w:hAnsi="Book Antiqua"/>
                <w:b/>
                <w:bCs/>
                <w:color w:val="000000"/>
                <w:sz w:val="22"/>
                <w:szCs w:val="22"/>
              </w:rPr>
            </w:pPr>
            <w:r w:rsidRPr="0019182D">
              <w:rPr>
                <w:rFonts w:ascii="Book Antiqua" w:hAnsi="Book Antiqua"/>
                <w:b/>
                <w:bCs/>
                <w:color w:val="000000"/>
                <w:sz w:val="22"/>
                <w:szCs w:val="22"/>
              </w:rPr>
              <w:t>POPULATION</w:t>
            </w:r>
          </w:p>
        </w:tc>
      </w:tr>
      <w:tr w:rsidR="0019182D" w:rsidRPr="0019182D" w14:paraId="433853D8"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4C8C4AF6"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Kearney</w:t>
            </w:r>
          </w:p>
        </w:tc>
        <w:tc>
          <w:tcPr>
            <w:tcW w:w="985" w:type="dxa"/>
            <w:tcBorders>
              <w:top w:val="nil"/>
              <w:left w:val="nil"/>
              <w:bottom w:val="single" w:sz="4" w:space="0" w:color="auto"/>
              <w:right w:val="single" w:sz="4" w:space="0" w:color="auto"/>
            </w:tcBorders>
            <w:shd w:val="clear" w:color="auto" w:fill="auto"/>
            <w:noWrap/>
            <w:vAlign w:val="bottom"/>
            <w:hideMark/>
          </w:tcPr>
          <w:p w14:paraId="3D24AE1D"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33867</w:t>
            </w:r>
          </w:p>
        </w:tc>
      </w:tr>
      <w:tr w:rsidR="0019182D" w:rsidRPr="0019182D" w14:paraId="37446DEB"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62F55FFB" w14:textId="54187746"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Elm</w:t>
            </w:r>
            <w:r>
              <w:rPr>
                <w:rFonts w:ascii="Book Antiqua" w:hAnsi="Book Antiqua"/>
                <w:color w:val="000000"/>
                <w:sz w:val="22"/>
                <w:szCs w:val="22"/>
              </w:rPr>
              <w:t xml:space="preserve"> </w:t>
            </w:r>
            <w:r w:rsidRPr="0019182D">
              <w:rPr>
                <w:rFonts w:ascii="Book Antiqua" w:hAnsi="Book Antiqua"/>
                <w:color w:val="000000"/>
                <w:sz w:val="22"/>
                <w:szCs w:val="22"/>
              </w:rPr>
              <w:t>Creek</w:t>
            </w:r>
          </w:p>
        </w:tc>
        <w:tc>
          <w:tcPr>
            <w:tcW w:w="985" w:type="dxa"/>
            <w:tcBorders>
              <w:top w:val="nil"/>
              <w:left w:val="nil"/>
              <w:bottom w:val="single" w:sz="4" w:space="0" w:color="auto"/>
              <w:right w:val="single" w:sz="4" w:space="0" w:color="auto"/>
            </w:tcBorders>
            <w:shd w:val="clear" w:color="auto" w:fill="auto"/>
            <w:noWrap/>
            <w:vAlign w:val="bottom"/>
            <w:hideMark/>
          </w:tcPr>
          <w:p w14:paraId="7A700A34"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949</w:t>
            </w:r>
          </w:p>
        </w:tc>
      </w:tr>
      <w:tr w:rsidR="0019182D" w:rsidRPr="0019182D" w14:paraId="6B5A6314"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5739A21E"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Axtell</w:t>
            </w:r>
          </w:p>
        </w:tc>
        <w:tc>
          <w:tcPr>
            <w:tcW w:w="985" w:type="dxa"/>
            <w:tcBorders>
              <w:top w:val="nil"/>
              <w:left w:val="nil"/>
              <w:bottom w:val="single" w:sz="4" w:space="0" w:color="auto"/>
              <w:right w:val="single" w:sz="4" w:space="0" w:color="auto"/>
            </w:tcBorders>
            <w:shd w:val="clear" w:color="auto" w:fill="auto"/>
            <w:noWrap/>
            <w:vAlign w:val="bottom"/>
            <w:hideMark/>
          </w:tcPr>
          <w:p w14:paraId="590D3941"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751</w:t>
            </w:r>
          </w:p>
        </w:tc>
      </w:tr>
      <w:tr w:rsidR="0019182D" w:rsidRPr="0019182D" w14:paraId="524DF71A"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0597E8C3"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Pleasanton</w:t>
            </w:r>
          </w:p>
        </w:tc>
        <w:tc>
          <w:tcPr>
            <w:tcW w:w="985" w:type="dxa"/>
            <w:tcBorders>
              <w:top w:val="nil"/>
              <w:left w:val="nil"/>
              <w:bottom w:val="single" w:sz="4" w:space="0" w:color="auto"/>
              <w:right w:val="single" w:sz="4" w:space="0" w:color="auto"/>
            </w:tcBorders>
            <w:shd w:val="clear" w:color="auto" w:fill="auto"/>
            <w:noWrap/>
            <w:vAlign w:val="bottom"/>
            <w:hideMark/>
          </w:tcPr>
          <w:p w14:paraId="2FC922EF"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359</w:t>
            </w:r>
          </w:p>
        </w:tc>
      </w:tr>
      <w:tr w:rsidR="0019182D" w:rsidRPr="0019182D" w14:paraId="60816E38"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140D76D7"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Riverdale</w:t>
            </w:r>
          </w:p>
        </w:tc>
        <w:tc>
          <w:tcPr>
            <w:tcW w:w="985" w:type="dxa"/>
            <w:tcBorders>
              <w:top w:val="nil"/>
              <w:left w:val="nil"/>
              <w:bottom w:val="single" w:sz="4" w:space="0" w:color="auto"/>
              <w:right w:val="single" w:sz="4" w:space="0" w:color="auto"/>
            </w:tcBorders>
            <w:shd w:val="clear" w:color="auto" w:fill="auto"/>
            <w:noWrap/>
            <w:vAlign w:val="bottom"/>
            <w:hideMark/>
          </w:tcPr>
          <w:p w14:paraId="6394DA23"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179</w:t>
            </w:r>
          </w:p>
        </w:tc>
      </w:tr>
      <w:tr w:rsidR="0019182D" w:rsidRPr="0019182D" w14:paraId="77E1C0E3"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606E3DB2"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Amherst</w:t>
            </w:r>
          </w:p>
        </w:tc>
        <w:tc>
          <w:tcPr>
            <w:tcW w:w="985" w:type="dxa"/>
            <w:tcBorders>
              <w:top w:val="nil"/>
              <w:left w:val="nil"/>
              <w:bottom w:val="single" w:sz="4" w:space="0" w:color="auto"/>
              <w:right w:val="single" w:sz="4" w:space="0" w:color="auto"/>
            </w:tcBorders>
            <w:shd w:val="clear" w:color="auto" w:fill="auto"/>
            <w:noWrap/>
            <w:vAlign w:val="bottom"/>
            <w:hideMark/>
          </w:tcPr>
          <w:p w14:paraId="0041D053"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253</w:t>
            </w:r>
          </w:p>
        </w:tc>
      </w:tr>
      <w:tr w:rsidR="0019182D" w:rsidRPr="0019182D" w14:paraId="658CC0AC"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2AB1C246"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Gibbon</w:t>
            </w:r>
          </w:p>
        </w:tc>
        <w:tc>
          <w:tcPr>
            <w:tcW w:w="985" w:type="dxa"/>
            <w:tcBorders>
              <w:top w:val="nil"/>
              <w:left w:val="nil"/>
              <w:bottom w:val="single" w:sz="4" w:space="0" w:color="auto"/>
              <w:right w:val="single" w:sz="4" w:space="0" w:color="auto"/>
            </w:tcBorders>
            <w:shd w:val="clear" w:color="auto" w:fill="auto"/>
            <w:noWrap/>
            <w:vAlign w:val="bottom"/>
            <w:hideMark/>
          </w:tcPr>
          <w:p w14:paraId="0076B866"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1869</w:t>
            </w:r>
          </w:p>
        </w:tc>
      </w:tr>
      <w:tr w:rsidR="0019182D" w:rsidRPr="0019182D" w14:paraId="7BC868BC"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63C87959"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Shelton</w:t>
            </w:r>
          </w:p>
        </w:tc>
        <w:tc>
          <w:tcPr>
            <w:tcW w:w="985" w:type="dxa"/>
            <w:tcBorders>
              <w:top w:val="nil"/>
              <w:left w:val="nil"/>
              <w:bottom w:val="single" w:sz="4" w:space="0" w:color="auto"/>
              <w:right w:val="single" w:sz="4" w:space="0" w:color="auto"/>
            </w:tcBorders>
            <w:shd w:val="clear" w:color="auto" w:fill="auto"/>
            <w:noWrap/>
            <w:vAlign w:val="bottom"/>
            <w:hideMark/>
          </w:tcPr>
          <w:p w14:paraId="1CE44219"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1055</w:t>
            </w:r>
          </w:p>
        </w:tc>
      </w:tr>
      <w:tr w:rsidR="0019182D" w:rsidRPr="0019182D" w14:paraId="5B92F7EC"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5266E237"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Odessa</w:t>
            </w:r>
          </w:p>
        </w:tc>
        <w:tc>
          <w:tcPr>
            <w:tcW w:w="985" w:type="dxa"/>
            <w:tcBorders>
              <w:top w:val="nil"/>
              <w:left w:val="nil"/>
              <w:bottom w:val="single" w:sz="4" w:space="0" w:color="auto"/>
              <w:right w:val="single" w:sz="4" w:space="0" w:color="auto"/>
            </w:tcBorders>
            <w:shd w:val="clear" w:color="auto" w:fill="auto"/>
            <w:noWrap/>
            <w:vAlign w:val="bottom"/>
            <w:hideMark/>
          </w:tcPr>
          <w:p w14:paraId="500143CD"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130</w:t>
            </w:r>
          </w:p>
        </w:tc>
      </w:tr>
      <w:tr w:rsidR="0019182D" w:rsidRPr="0019182D" w14:paraId="766361B3"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D0CECE"/>
            <w:noWrap/>
            <w:vAlign w:val="bottom"/>
            <w:hideMark/>
          </w:tcPr>
          <w:p w14:paraId="303DFA84" w14:textId="77777777" w:rsidR="0019182D" w:rsidRPr="0019182D" w:rsidRDefault="0019182D" w:rsidP="0019182D">
            <w:pPr>
              <w:rPr>
                <w:rFonts w:ascii="Book Antiqua" w:hAnsi="Book Antiqua"/>
                <w:b/>
                <w:bCs/>
                <w:color w:val="000000"/>
                <w:sz w:val="22"/>
                <w:szCs w:val="22"/>
              </w:rPr>
            </w:pPr>
            <w:r w:rsidRPr="0019182D">
              <w:rPr>
                <w:rFonts w:ascii="Book Antiqua" w:hAnsi="Book Antiqua"/>
                <w:b/>
                <w:bCs/>
                <w:color w:val="000000"/>
                <w:sz w:val="22"/>
                <w:szCs w:val="22"/>
              </w:rPr>
              <w:t>KEARNEY URBAN AREA  (TOTAL)</w:t>
            </w:r>
          </w:p>
        </w:tc>
        <w:tc>
          <w:tcPr>
            <w:tcW w:w="985" w:type="dxa"/>
            <w:tcBorders>
              <w:top w:val="nil"/>
              <w:left w:val="nil"/>
              <w:bottom w:val="single" w:sz="4" w:space="0" w:color="auto"/>
              <w:right w:val="single" w:sz="4" w:space="0" w:color="auto"/>
            </w:tcBorders>
            <w:shd w:val="clear" w:color="000000" w:fill="D0CECE"/>
            <w:noWrap/>
            <w:vAlign w:val="bottom"/>
            <w:hideMark/>
          </w:tcPr>
          <w:p w14:paraId="54C0755D" w14:textId="77777777" w:rsidR="0019182D" w:rsidRPr="0019182D" w:rsidRDefault="0019182D" w:rsidP="0019182D">
            <w:pPr>
              <w:jc w:val="center"/>
              <w:rPr>
                <w:rFonts w:ascii="Book Antiqua" w:hAnsi="Book Antiqua"/>
                <w:b/>
                <w:bCs/>
                <w:color w:val="000000"/>
                <w:sz w:val="22"/>
                <w:szCs w:val="22"/>
              </w:rPr>
            </w:pPr>
            <w:r w:rsidRPr="0019182D">
              <w:rPr>
                <w:rFonts w:ascii="Book Antiqua" w:hAnsi="Book Antiqua"/>
                <w:b/>
                <w:bCs/>
                <w:color w:val="000000"/>
                <w:sz w:val="22"/>
                <w:szCs w:val="22"/>
              </w:rPr>
              <w:t>39412</w:t>
            </w:r>
          </w:p>
        </w:tc>
      </w:tr>
      <w:tr w:rsidR="0019182D" w:rsidRPr="0019182D" w14:paraId="3220EEEB"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5DA805F7"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Lexington</w:t>
            </w:r>
          </w:p>
        </w:tc>
        <w:tc>
          <w:tcPr>
            <w:tcW w:w="985" w:type="dxa"/>
            <w:tcBorders>
              <w:top w:val="nil"/>
              <w:left w:val="nil"/>
              <w:bottom w:val="single" w:sz="4" w:space="0" w:color="auto"/>
              <w:right w:val="single" w:sz="4" w:space="0" w:color="auto"/>
            </w:tcBorders>
            <w:shd w:val="clear" w:color="auto" w:fill="auto"/>
            <w:noWrap/>
            <w:vAlign w:val="bottom"/>
            <w:hideMark/>
          </w:tcPr>
          <w:p w14:paraId="11F9AAFA"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10115</w:t>
            </w:r>
          </w:p>
        </w:tc>
      </w:tr>
      <w:tr w:rsidR="0019182D" w:rsidRPr="0019182D" w14:paraId="4F80302E"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347A8CC1"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Overton</w:t>
            </w:r>
          </w:p>
        </w:tc>
        <w:tc>
          <w:tcPr>
            <w:tcW w:w="985" w:type="dxa"/>
            <w:tcBorders>
              <w:top w:val="nil"/>
              <w:left w:val="nil"/>
              <w:bottom w:val="single" w:sz="4" w:space="0" w:color="auto"/>
              <w:right w:val="single" w:sz="4" w:space="0" w:color="auto"/>
            </w:tcBorders>
            <w:shd w:val="clear" w:color="auto" w:fill="auto"/>
            <w:noWrap/>
            <w:vAlign w:val="bottom"/>
            <w:hideMark/>
          </w:tcPr>
          <w:p w14:paraId="5C76AAB8"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567</w:t>
            </w:r>
          </w:p>
        </w:tc>
      </w:tr>
      <w:tr w:rsidR="0019182D" w:rsidRPr="0019182D" w14:paraId="785A2112"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03C53EAA"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lastRenderedPageBreak/>
              <w:t>Johnson Lake</w:t>
            </w:r>
          </w:p>
        </w:tc>
        <w:tc>
          <w:tcPr>
            <w:tcW w:w="985" w:type="dxa"/>
            <w:tcBorders>
              <w:top w:val="nil"/>
              <w:left w:val="nil"/>
              <w:bottom w:val="single" w:sz="4" w:space="0" w:color="auto"/>
              <w:right w:val="single" w:sz="4" w:space="0" w:color="auto"/>
            </w:tcBorders>
            <w:shd w:val="clear" w:color="auto" w:fill="auto"/>
            <w:noWrap/>
            <w:vAlign w:val="bottom"/>
            <w:hideMark/>
          </w:tcPr>
          <w:p w14:paraId="4101AD17"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600</w:t>
            </w:r>
          </w:p>
        </w:tc>
      </w:tr>
      <w:tr w:rsidR="002344F0" w:rsidRPr="0019182D" w14:paraId="3F072DC7"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tcPr>
          <w:p w14:paraId="53720879" w14:textId="5EABA4BA" w:rsidR="002344F0" w:rsidRPr="0019182D" w:rsidRDefault="002344F0" w:rsidP="0019182D">
            <w:pPr>
              <w:rPr>
                <w:rFonts w:ascii="Book Antiqua" w:hAnsi="Book Antiqua"/>
                <w:color w:val="000000"/>
                <w:sz w:val="22"/>
                <w:szCs w:val="22"/>
              </w:rPr>
            </w:pPr>
            <w:r>
              <w:rPr>
                <w:rFonts w:ascii="Book Antiqua" w:hAnsi="Book Antiqua"/>
                <w:color w:val="000000"/>
                <w:sz w:val="22"/>
                <w:szCs w:val="22"/>
              </w:rPr>
              <w:t>Elwood</w:t>
            </w:r>
          </w:p>
        </w:tc>
        <w:tc>
          <w:tcPr>
            <w:tcW w:w="985" w:type="dxa"/>
            <w:tcBorders>
              <w:top w:val="nil"/>
              <w:left w:val="nil"/>
              <w:bottom w:val="single" w:sz="4" w:space="0" w:color="auto"/>
              <w:right w:val="single" w:sz="4" w:space="0" w:color="auto"/>
            </w:tcBorders>
            <w:shd w:val="clear" w:color="auto" w:fill="auto"/>
            <w:noWrap/>
            <w:vAlign w:val="bottom"/>
          </w:tcPr>
          <w:p w14:paraId="58BBFDDF" w14:textId="11C4708B" w:rsidR="002344F0" w:rsidRPr="0019182D" w:rsidRDefault="002344F0" w:rsidP="0019182D">
            <w:pPr>
              <w:jc w:val="center"/>
              <w:rPr>
                <w:rFonts w:ascii="Book Antiqua" w:hAnsi="Book Antiqua"/>
                <w:color w:val="000000"/>
                <w:sz w:val="22"/>
                <w:szCs w:val="22"/>
              </w:rPr>
            </w:pPr>
            <w:r>
              <w:rPr>
                <w:rFonts w:ascii="Book Antiqua" w:hAnsi="Book Antiqua"/>
                <w:color w:val="000000"/>
                <w:sz w:val="22"/>
                <w:szCs w:val="22"/>
              </w:rPr>
              <w:t>683</w:t>
            </w:r>
          </w:p>
        </w:tc>
      </w:tr>
      <w:tr w:rsidR="0019182D" w:rsidRPr="0019182D" w14:paraId="67D2AA4B"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34B3A7F3"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Cozad</w:t>
            </w:r>
          </w:p>
        </w:tc>
        <w:tc>
          <w:tcPr>
            <w:tcW w:w="985" w:type="dxa"/>
            <w:tcBorders>
              <w:top w:val="nil"/>
              <w:left w:val="nil"/>
              <w:bottom w:val="single" w:sz="4" w:space="0" w:color="auto"/>
              <w:right w:val="single" w:sz="4" w:space="0" w:color="auto"/>
            </w:tcBorders>
            <w:shd w:val="clear" w:color="auto" w:fill="auto"/>
            <w:noWrap/>
            <w:vAlign w:val="bottom"/>
            <w:hideMark/>
          </w:tcPr>
          <w:p w14:paraId="6B3EEB38"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3735</w:t>
            </w:r>
          </w:p>
        </w:tc>
      </w:tr>
      <w:tr w:rsidR="0019182D" w:rsidRPr="0019182D" w14:paraId="478BACC9"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D0CECE"/>
            <w:noWrap/>
            <w:vAlign w:val="bottom"/>
            <w:hideMark/>
          </w:tcPr>
          <w:p w14:paraId="17DBEF44" w14:textId="77777777" w:rsidR="0019182D" w:rsidRPr="0019182D" w:rsidRDefault="0019182D" w:rsidP="0019182D">
            <w:pPr>
              <w:rPr>
                <w:rFonts w:ascii="Book Antiqua" w:hAnsi="Book Antiqua"/>
                <w:b/>
                <w:bCs/>
                <w:color w:val="000000"/>
                <w:sz w:val="22"/>
                <w:szCs w:val="22"/>
              </w:rPr>
            </w:pPr>
            <w:r w:rsidRPr="0019182D">
              <w:rPr>
                <w:rFonts w:ascii="Book Antiqua" w:hAnsi="Book Antiqua"/>
                <w:b/>
                <w:bCs/>
                <w:color w:val="000000"/>
                <w:sz w:val="22"/>
                <w:szCs w:val="22"/>
              </w:rPr>
              <w:t>LEXINGTON URBAN AREA (TOTAL)</w:t>
            </w:r>
          </w:p>
        </w:tc>
        <w:tc>
          <w:tcPr>
            <w:tcW w:w="985" w:type="dxa"/>
            <w:tcBorders>
              <w:top w:val="nil"/>
              <w:left w:val="nil"/>
              <w:bottom w:val="single" w:sz="4" w:space="0" w:color="auto"/>
              <w:right w:val="single" w:sz="4" w:space="0" w:color="auto"/>
            </w:tcBorders>
            <w:shd w:val="clear" w:color="000000" w:fill="D0CECE"/>
            <w:noWrap/>
            <w:vAlign w:val="bottom"/>
            <w:hideMark/>
          </w:tcPr>
          <w:p w14:paraId="6B76CC62" w14:textId="42EF5718" w:rsidR="0019182D" w:rsidRPr="0019182D" w:rsidRDefault="0019182D" w:rsidP="0019182D">
            <w:pPr>
              <w:jc w:val="center"/>
              <w:rPr>
                <w:rFonts w:ascii="Book Antiqua" w:hAnsi="Book Antiqua"/>
                <w:b/>
                <w:bCs/>
                <w:color w:val="000000"/>
                <w:sz w:val="22"/>
                <w:szCs w:val="22"/>
              </w:rPr>
            </w:pPr>
            <w:r w:rsidRPr="0019182D">
              <w:rPr>
                <w:rFonts w:ascii="Book Antiqua" w:hAnsi="Book Antiqua"/>
                <w:b/>
                <w:bCs/>
                <w:color w:val="000000"/>
                <w:sz w:val="22"/>
                <w:szCs w:val="22"/>
              </w:rPr>
              <w:t>15</w:t>
            </w:r>
            <w:r w:rsidR="002344F0">
              <w:rPr>
                <w:rFonts w:ascii="Book Antiqua" w:hAnsi="Book Antiqua"/>
                <w:b/>
                <w:bCs/>
                <w:color w:val="000000"/>
                <w:sz w:val="22"/>
                <w:szCs w:val="22"/>
              </w:rPr>
              <w:t>,700</w:t>
            </w:r>
          </w:p>
        </w:tc>
      </w:tr>
      <w:tr w:rsidR="0019182D" w:rsidRPr="0019182D" w14:paraId="2EC7DC92"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5470651F"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Holdrege</w:t>
            </w:r>
          </w:p>
        </w:tc>
        <w:tc>
          <w:tcPr>
            <w:tcW w:w="985" w:type="dxa"/>
            <w:tcBorders>
              <w:top w:val="nil"/>
              <w:left w:val="nil"/>
              <w:bottom w:val="single" w:sz="4" w:space="0" w:color="auto"/>
              <w:right w:val="single" w:sz="4" w:space="0" w:color="auto"/>
            </w:tcBorders>
            <w:shd w:val="clear" w:color="auto" w:fill="auto"/>
            <w:noWrap/>
            <w:vAlign w:val="bottom"/>
            <w:hideMark/>
          </w:tcPr>
          <w:p w14:paraId="76E448C0"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5408</w:t>
            </w:r>
          </w:p>
        </w:tc>
      </w:tr>
      <w:tr w:rsidR="0019182D" w:rsidRPr="0019182D" w14:paraId="73353C36"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44659964"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Funk</w:t>
            </w:r>
          </w:p>
        </w:tc>
        <w:tc>
          <w:tcPr>
            <w:tcW w:w="985" w:type="dxa"/>
            <w:tcBorders>
              <w:top w:val="nil"/>
              <w:left w:val="nil"/>
              <w:bottom w:val="single" w:sz="4" w:space="0" w:color="auto"/>
              <w:right w:val="single" w:sz="4" w:space="0" w:color="auto"/>
            </w:tcBorders>
            <w:shd w:val="clear" w:color="auto" w:fill="auto"/>
            <w:noWrap/>
            <w:vAlign w:val="bottom"/>
            <w:hideMark/>
          </w:tcPr>
          <w:p w14:paraId="08BA6EB1"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183</w:t>
            </w:r>
          </w:p>
        </w:tc>
      </w:tr>
      <w:tr w:rsidR="0019182D" w:rsidRPr="0019182D" w14:paraId="7C0BA425" w14:textId="77777777" w:rsidTr="0019182D">
        <w:trPr>
          <w:trHeight w:val="320"/>
        </w:trPr>
        <w:tc>
          <w:tcPr>
            <w:tcW w:w="4495" w:type="dxa"/>
            <w:tcBorders>
              <w:top w:val="nil"/>
              <w:left w:val="single" w:sz="4" w:space="0" w:color="auto"/>
              <w:bottom w:val="single" w:sz="4" w:space="0" w:color="auto"/>
              <w:right w:val="single" w:sz="4" w:space="0" w:color="auto"/>
            </w:tcBorders>
            <w:shd w:val="clear" w:color="000000" w:fill="F2F2F2"/>
            <w:noWrap/>
            <w:vAlign w:val="bottom"/>
            <w:hideMark/>
          </w:tcPr>
          <w:p w14:paraId="5C53E17F" w14:textId="77777777" w:rsidR="0019182D" w:rsidRPr="0019182D" w:rsidRDefault="0019182D" w:rsidP="0019182D">
            <w:pPr>
              <w:rPr>
                <w:rFonts w:ascii="Book Antiqua" w:hAnsi="Book Antiqua"/>
                <w:color w:val="000000"/>
                <w:sz w:val="22"/>
                <w:szCs w:val="22"/>
              </w:rPr>
            </w:pPr>
            <w:r w:rsidRPr="0019182D">
              <w:rPr>
                <w:rFonts w:ascii="Book Antiqua" w:hAnsi="Book Antiqua"/>
                <w:color w:val="000000"/>
                <w:sz w:val="22"/>
                <w:szCs w:val="22"/>
              </w:rPr>
              <w:t>Loomis</w:t>
            </w:r>
          </w:p>
        </w:tc>
        <w:tc>
          <w:tcPr>
            <w:tcW w:w="985" w:type="dxa"/>
            <w:tcBorders>
              <w:top w:val="nil"/>
              <w:left w:val="nil"/>
              <w:bottom w:val="single" w:sz="4" w:space="0" w:color="auto"/>
              <w:right w:val="single" w:sz="4" w:space="0" w:color="auto"/>
            </w:tcBorders>
            <w:shd w:val="clear" w:color="auto" w:fill="auto"/>
            <w:noWrap/>
            <w:vAlign w:val="bottom"/>
            <w:hideMark/>
          </w:tcPr>
          <w:p w14:paraId="18FEA4F9" w14:textId="77777777" w:rsidR="0019182D" w:rsidRPr="0019182D" w:rsidRDefault="0019182D" w:rsidP="0019182D">
            <w:pPr>
              <w:jc w:val="center"/>
              <w:rPr>
                <w:rFonts w:ascii="Book Antiqua" w:hAnsi="Book Antiqua"/>
                <w:color w:val="000000"/>
                <w:sz w:val="22"/>
                <w:szCs w:val="22"/>
              </w:rPr>
            </w:pPr>
            <w:r w:rsidRPr="0019182D">
              <w:rPr>
                <w:rFonts w:ascii="Book Antiqua" w:hAnsi="Book Antiqua"/>
                <w:color w:val="000000"/>
                <w:sz w:val="22"/>
                <w:szCs w:val="22"/>
              </w:rPr>
              <w:t>376</w:t>
            </w:r>
          </w:p>
        </w:tc>
      </w:tr>
      <w:tr w:rsidR="0019182D" w:rsidRPr="0019182D" w14:paraId="58B0DC30" w14:textId="77777777" w:rsidTr="0066604D">
        <w:trPr>
          <w:trHeight w:val="320"/>
        </w:trPr>
        <w:tc>
          <w:tcPr>
            <w:tcW w:w="4495" w:type="dxa"/>
            <w:tcBorders>
              <w:top w:val="nil"/>
              <w:left w:val="single" w:sz="4" w:space="0" w:color="auto"/>
              <w:bottom w:val="single" w:sz="4" w:space="0" w:color="auto"/>
              <w:right w:val="single" w:sz="4" w:space="0" w:color="auto"/>
            </w:tcBorders>
            <w:shd w:val="clear" w:color="000000" w:fill="D0CECE"/>
            <w:noWrap/>
            <w:vAlign w:val="bottom"/>
            <w:hideMark/>
          </w:tcPr>
          <w:p w14:paraId="65A5086A" w14:textId="77777777" w:rsidR="0019182D" w:rsidRPr="0019182D" w:rsidRDefault="0019182D" w:rsidP="0019182D">
            <w:pPr>
              <w:rPr>
                <w:rFonts w:ascii="Book Antiqua" w:hAnsi="Book Antiqua"/>
                <w:b/>
                <w:bCs/>
                <w:color w:val="000000"/>
                <w:sz w:val="22"/>
                <w:szCs w:val="22"/>
              </w:rPr>
            </w:pPr>
            <w:r w:rsidRPr="0019182D">
              <w:rPr>
                <w:rFonts w:ascii="Book Antiqua" w:hAnsi="Book Antiqua"/>
                <w:b/>
                <w:bCs/>
                <w:color w:val="000000"/>
                <w:sz w:val="22"/>
                <w:szCs w:val="22"/>
              </w:rPr>
              <w:t>HOLDREGE URBAN AREA (TOTAL)</w:t>
            </w:r>
          </w:p>
        </w:tc>
        <w:tc>
          <w:tcPr>
            <w:tcW w:w="985" w:type="dxa"/>
            <w:tcBorders>
              <w:top w:val="nil"/>
              <w:left w:val="nil"/>
              <w:bottom w:val="single" w:sz="4" w:space="0" w:color="auto"/>
              <w:right w:val="single" w:sz="4" w:space="0" w:color="auto"/>
            </w:tcBorders>
            <w:shd w:val="clear" w:color="000000" w:fill="D0CECE"/>
            <w:noWrap/>
            <w:vAlign w:val="bottom"/>
            <w:hideMark/>
          </w:tcPr>
          <w:p w14:paraId="0740B6C8" w14:textId="77777777" w:rsidR="0019182D" w:rsidRPr="0019182D" w:rsidRDefault="0019182D" w:rsidP="0019182D">
            <w:pPr>
              <w:jc w:val="center"/>
              <w:rPr>
                <w:rFonts w:ascii="Book Antiqua" w:hAnsi="Book Antiqua"/>
                <w:b/>
                <w:bCs/>
                <w:color w:val="000000"/>
                <w:sz w:val="22"/>
                <w:szCs w:val="22"/>
              </w:rPr>
            </w:pPr>
            <w:r w:rsidRPr="0019182D">
              <w:rPr>
                <w:rFonts w:ascii="Book Antiqua" w:hAnsi="Book Antiqua"/>
                <w:b/>
                <w:bCs/>
                <w:color w:val="000000"/>
                <w:sz w:val="22"/>
                <w:szCs w:val="22"/>
              </w:rPr>
              <w:t>5967</w:t>
            </w:r>
          </w:p>
        </w:tc>
      </w:tr>
      <w:tr w:rsidR="0066604D" w:rsidRPr="0019182D" w14:paraId="7EFF5EC5" w14:textId="77777777" w:rsidTr="0066604D">
        <w:trPr>
          <w:trHeight w:val="320"/>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7813F" w14:textId="4DD72EAB" w:rsidR="0066604D" w:rsidRPr="0066604D" w:rsidRDefault="0066604D" w:rsidP="0019182D">
            <w:pPr>
              <w:rPr>
                <w:rFonts w:ascii="Book Antiqua" w:hAnsi="Book Antiqua"/>
                <w:color w:val="000000"/>
                <w:sz w:val="22"/>
                <w:szCs w:val="22"/>
              </w:rPr>
            </w:pPr>
            <w:r w:rsidRPr="0066604D">
              <w:rPr>
                <w:rFonts w:ascii="Book Antiqua" w:hAnsi="Book Antiqua"/>
                <w:color w:val="000000"/>
                <w:sz w:val="22"/>
                <w:szCs w:val="22"/>
              </w:rPr>
              <w:t>Gothenburg</w:t>
            </w:r>
          </w:p>
        </w:tc>
        <w:tc>
          <w:tcPr>
            <w:tcW w:w="985" w:type="dxa"/>
            <w:tcBorders>
              <w:top w:val="single" w:sz="4" w:space="0" w:color="auto"/>
              <w:left w:val="nil"/>
              <w:bottom w:val="single" w:sz="4" w:space="0" w:color="auto"/>
              <w:right w:val="single" w:sz="4" w:space="0" w:color="auto"/>
            </w:tcBorders>
            <w:shd w:val="clear" w:color="auto" w:fill="auto"/>
            <w:noWrap/>
            <w:vAlign w:val="bottom"/>
          </w:tcPr>
          <w:p w14:paraId="191613B9" w14:textId="559BF90C" w:rsidR="0066604D" w:rsidRPr="0066604D" w:rsidRDefault="0066604D" w:rsidP="0019182D">
            <w:pPr>
              <w:jc w:val="center"/>
              <w:rPr>
                <w:rFonts w:ascii="Book Antiqua" w:hAnsi="Book Antiqua"/>
                <w:color w:val="000000"/>
                <w:sz w:val="22"/>
                <w:szCs w:val="22"/>
              </w:rPr>
            </w:pPr>
            <w:r w:rsidRPr="0066604D">
              <w:rPr>
                <w:rFonts w:ascii="Book Antiqua" w:hAnsi="Book Antiqua"/>
                <w:color w:val="000000"/>
                <w:sz w:val="22"/>
                <w:szCs w:val="22"/>
              </w:rPr>
              <w:t>3489</w:t>
            </w:r>
          </w:p>
        </w:tc>
      </w:tr>
      <w:tr w:rsidR="0066604D" w:rsidRPr="0019182D" w14:paraId="22DA4094" w14:textId="77777777" w:rsidTr="0066604D">
        <w:trPr>
          <w:trHeight w:val="320"/>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BB3C4" w14:textId="21F761C8" w:rsidR="0066604D" w:rsidRPr="0066604D" w:rsidRDefault="0066604D" w:rsidP="0019182D">
            <w:pPr>
              <w:rPr>
                <w:rFonts w:ascii="Book Antiqua" w:hAnsi="Book Antiqua"/>
                <w:color w:val="000000"/>
                <w:sz w:val="22"/>
                <w:szCs w:val="22"/>
              </w:rPr>
            </w:pPr>
            <w:r w:rsidRPr="0066604D">
              <w:rPr>
                <w:rFonts w:ascii="Book Antiqua" w:hAnsi="Book Antiqua"/>
                <w:color w:val="000000"/>
                <w:sz w:val="22"/>
                <w:szCs w:val="22"/>
              </w:rPr>
              <w:t>Minden</w:t>
            </w:r>
          </w:p>
        </w:tc>
        <w:tc>
          <w:tcPr>
            <w:tcW w:w="985" w:type="dxa"/>
            <w:tcBorders>
              <w:top w:val="single" w:sz="4" w:space="0" w:color="auto"/>
              <w:left w:val="nil"/>
              <w:bottom w:val="single" w:sz="4" w:space="0" w:color="auto"/>
              <w:right w:val="single" w:sz="4" w:space="0" w:color="auto"/>
            </w:tcBorders>
            <w:shd w:val="clear" w:color="auto" w:fill="auto"/>
            <w:noWrap/>
            <w:vAlign w:val="bottom"/>
          </w:tcPr>
          <w:p w14:paraId="705C5FF5" w14:textId="56625933" w:rsidR="0066604D" w:rsidRPr="0066604D" w:rsidRDefault="0066604D" w:rsidP="0019182D">
            <w:pPr>
              <w:jc w:val="center"/>
              <w:rPr>
                <w:rFonts w:ascii="Book Antiqua" w:hAnsi="Book Antiqua"/>
                <w:color w:val="000000"/>
                <w:sz w:val="22"/>
                <w:szCs w:val="22"/>
              </w:rPr>
            </w:pPr>
            <w:r w:rsidRPr="0066604D">
              <w:rPr>
                <w:rFonts w:ascii="Book Antiqua" w:hAnsi="Book Antiqua"/>
                <w:color w:val="000000"/>
                <w:sz w:val="22"/>
                <w:szCs w:val="22"/>
              </w:rPr>
              <w:t>2890</w:t>
            </w:r>
          </w:p>
        </w:tc>
      </w:tr>
    </w:tbl>
    <w:p w14:paraId="342D2ECA" w14:textId="77777777" w:rsidR="0019182D" w:rsidRPr="00390189" w:rsidRDefault="0019182D" w:rsidP="00101B64">
      <w:pPr>
        <w:contextualSpacing/>
        <w:jc w:val="both"/>
        <w:rPr>
          <w:rFonts w:ascii="Book Antiqua" w:hAnsi="Book Antiqua" w:cs="Arial Hebrew"/>
          <w:sz w:val="22"/>
          <w:szCs w:val="22"/>
        </w:rPr>
      </w:pPr>
    </w:p>
    <w:p w14:paraId="39274678" w14:textId="77777777" w:rsidR="00101B64" w:rsidRPr="00390189" w:rsidRDefault="00101B64" w:rsidP="00101B64">
      <w:pPr>
        <w:contextualSpacing/>
        <w:jc w:val="both"/>
        <w:rPr>
          <w:rFonts w:ascii="Book Antiqua" w:hAnsi="Book Antiqua" w:cs="Arial Hebrew"/>
          <w:sz w:val="22"/>
          <w:szCs w:val="22"/>
        </w:rPr>
      </w:pPr>
      <w:r w:rsidRPr="00390189">
        <w:rPr>
          <w:rFonts w:ascii="Book Antiqua" w:hAnsi="Book Antiqua" w:cs="Arial Hebrew"/>
          <w:sz w:val="22"/>
          <w:szCs w:val="22"/>
        </w:rPr>
        <w:t xml:space="preserve">For presenting data, we selected 3 time frames: </w:t>
      </w:r>
    </w:p>
    <w:p w14:paraId="32C73F03" w14:textId="7D602641" w:rsidR="00101B64" w:rsidRPr="00390189" w:rsidRDefault="00101B64" w:rsidP="00101B64">
      <w:pPr>
        <w:pStyle w:val="ListParagraph"/>
        <w:numPr>
          <w:ilvl w:val="0"/>
          <w:numId w:val="15"/>
        </w:numPr>
        <w:spacing w:line="240" w:lineRule="auto"/>
        <w:jc w:val="both"/>
        <w:rPr>
          <w:rFonts w:ascii="Book Antiqua" w:hAnsi="Book Antiqua" w:cs="Arial Hebrew"/>
        </w:rPr>
      </w:pPr>
      <w:r w:rsidRPr="00390189">
        <w:rPr>
          <w:rFonts w:ascii="Book Antiqua" w:hAnsi="Book Antiqua" w:cs="Arial Hebrew"/>
        </w:rPr>
        <w:t xml:space="preserve">April 1 – </w:t>
      </w:r>
      <w:r w:rsidR="00716B20">
        <w:rPr>
          <w:rFonts w:ascii="Book Antiqua" w:hAnsi="Book Antiqua" w:cs="Arial Hebrew"/>
        </w:rPr>
        <w:t>current</w:t>
      </w:r>
      <w:r w:rsidRPr="00390189">
        <w:rPr>
          <w:rFonts w:ascii="Book Antiqua" w:hAnsi="Book Antiqua" w:cs="Arial Hebrew"/>
        </w:rPr>
        <w:t xml:space="preserve"> (From the beginning of the pandemic to </w:t>
      </w:r>
      <w:r w:rsidR="00716B20">
        <w:rPr>
          <w:rFonts w:ascii="Book Antiqua" w:hAnsi="Book Antiqua" w:cs="Arial Hebrew"/>
        </w:rPr>
        <w:t>most recent Tuesday</w:t>
      </w:r>
      <w:r w:rsidRPr="00390189">
        <w:rPr>
          <w:rFonts w:ascii="Book Antiqua" w:hAnsi="Book Antiqua" w:cs="Arial Hebrew"/>
        </w:rPr>
        <w:t>)</w:t>
      </w:r>
    </w:p>
    <w:p w14:paraId="20C932A1" w14:textId="6890EFA9" w:rsidR="00101B64" w:rsidRPr="00390189" w:rsidRDefault="00101B64" w:rsidP="00101B64">
      <w:pPr>
        <w:pStyle w:val="ListParagraph"/>
        <w:numPr>
          <w:ilvl w:val="0"/>
          <w:numId w:val="15"/>
        </w:numPr>
        <w:spacing w:line="240" w:lineRule="auto"/>
        <w:jc w:val="both"/>
        <w:rPr>
          <w:rFonts w:ascii="Book Antiqua" w:hAnsi="Book Antiqua" w:cs="Arial Hebrew"/>
        </w:rPr>
      </w:pPr>
      <w:r w:rsidRPr="00390189">
        <w:rPr>
          <w:rFonts w:ascii="Book Antiqua" w:hAnsi="Book Antiqua" w:cs="Arial Hebrew"/>
        </w:rPr>
        <w:t xml:space="preserve">July 01 – </w:t>
      </w:r>
      <w:r w:rsidR="00716B20">
        <w:rPr>
          <w:rFonts w:ascii="Book Antiqua" w:hAnsi="Book Antiqua" w:cs="Arial Hebrew"/>
        </w:rPr>
        <w:t>current</w:t>
      </w:r>
      <w:r w:rsidRPr="00390189">
        <w:rPr>
          <w:rFonts w:ascii="Book Antiqua" w:hAnsi="Book Antiqua" w:cs="Arial Hebrew"/>
        </w:rPr>
        <w:t xml:space="preserve"> (From the beginning of second sustained </w:t>
      </w:r>
      <w:r>
        <w:rPr>
          <w:rFonts w:ascii="Book Antiqua" w:hAnsi="Book Antiqua" w:cs="Arial Hebrew"/>
        </w:rPr>
        <w:t>‘wave’</w:t>
      </w:r>
      <w:r w:rsidRPr="00390189">
        <w:rPr>
          <w:rFonts w:ascii="Book Antiqua" w:hAnsi="Book Antiqua" w:cs="Arial Hebrew"/>
        </w:rPr>
        <w:t xml:space="preserve"> in daily case counts to current)</w:t>
      </w:r>
    </w:p>
    <w:p w14:paraId="61A80A7A" w14:textId="721589BE" w:rsidR="00101B64" w:rsidRPr="00390189" w:rsidRDefault="00101B64" w:rsidP="00101B64">
      <w:pPr>
        <w:pStyle w:val="ListParagraph"/>
        <w:numPr>
          <w:ilvl w:val="0"/>
          <w:numId w:val="15"/>
        </w:numPr>
        <w:spacing w:line="240" w:lineRule="auto"/>
        <w:jc w:val="both"/>
        <w:rPr>
          <w:rFonts w:ascii="Book Antiqua" w:hAnsi="Book Antiqua" w:cs="Arial Hebrew"/>
        </w:rPr>
      </w:pPr>
      <w:r w:rsidRPr="00390189">
        <w:rPr>
          <w:rFonts w:ascii="Book Antiqua" w:hAnsi="Book Antiqua" w:cs="Arial Hebrew"/>
        </w:rPr>
        <w:t>Previous 4 weeks</w:t>
      </w:r>
    </w:p>
    <w:p w14:paraId="60A460CB" w14:textId="54F56002" w:rsidR="00FE0989" w:rsidRDefault="00101B64" w:rsidP="00101B64">
      <w:pPr>
        <w:pStyle w:val="ListParagraph"/>
        <w:numPr>
          <w:ilvl w:val="0"/>
          <w:numId w:val="7"/>
        </w:numPr>
        <w:jc w:val="both"/>
        <w:rPr>
          <w:rFonts w:ascii="Book Antiqua" w:hAnsi="Book Antiqua" w:cs="Arial Hebrew"/>
        </w:rPr>
      </w:pPr>
      <w:r w:rsidRPr="00FE0989">
        <w:rPr>
          <w:rFonts w:ascii="Book Antiqua" w:hAnsi="Book Antiqua" w:cs="Arial Hebrew"/>
        </w:rPr>
        <w:t xml:space="preserve">Data is presented as 7-day rolling averages for daily numbers and absolute counts for cumulative cases. </w:t>
      </w:r>
      <w:r w:rsidR="00EC2069">
        <w:rPr>
          <w:rFonts w:ascii="Book Antiqua" w:hAnsi="Book Antiqua" w:cs="Arial Hebrew"/>
        </w:rPr>
        <w:t>The 7-day rolling average</w:t>
      </w:r>
      <w:r w:rsidR="00FE0989" w:rsidRPr="00FE0989">
        <w:rPr>
          <w:rFonts w:ascii="Book Antiqua" w:hAnsi="Book Antiqua" w:cs="Arial Hebrew"/>
        </w:rPr>
        <w:t xml:space="preserve"> is the sum of all cases </w:t>
      </w:r>
      <w:r w:rsidR="00C10E6B">
        <w:rPr>
          <w:rFonts w:ascii="Book Antiqua" w:hAnsi="Book Antiqua" w:cs="Arial Hebrew"/>
        </w:rPr>
        <w:t>reported on</w:t>
      </w:r>
      <w:r w:rsidR="00FE0989" w:rsidRPr="00FE0989">
        <w:rPr>
          <w:rFonts w:ascii="Book Antiqua" w:hAnsi="Book Antiqua" w:cs="Arial Hebrew"/>
        </w:rPr>
        <w:t xml:space="preserve"> that day </w:t>
      </w:r>
      <w:r w:rsidR="00C10E6B">
        <w:rPr>
          <w:rFonts w:ascii="Book Antiqua" w:hAnsi="Book Antiqua" w:cs="Arial Hebrew"/>
        </w:rPr>
        <w:t>plus</w:t>
      </w:r>
      <w:r w:rsidR="00FE0989" w:rsidRPr="00FE0989">
        <w:rPr>
          <w:rFonts w:ascii="Book Antiqua" w:hAnsi="Book Antiqua" w:cs="Arial Hebrew"/>
        </w:rPr>
        <w:t xml:space="preserve"> the previous six divided by 7. </w:t>
      </w:r>
    </w:p>
    <w:p w14:paraId="45AC1343" w14:textId="0EE5EB1E" w:rsidR="00FE0989" w:rsidRDefault="00FE0989" w:rsidP="00101B64">
      <w:pPr>
        <w:pStyle w:val="ListParagraph"/>
        <w:numPr>
          <w:ilvl w:val="0"/>
          <w:numId w:val="7"/>
        </w:numPr>
        <w:jc w:val="both"/>
        <w:rPr>
          <w:rFonts w:ascii="Book Antiqua" w:hAnsi="Book Antiqua" w:cs="Arial Hebrew"/>
        </w:rPr>
      </w:pPr>
      <w:r w:rsidRPr="00FE0989">
        <w:rPr>
          <w:rFonts w:ascii="Book Antiqua" w:hAnsi="Book Antiqua" w:cs="Arial Hebrew"/>
        </w:rPr>
        <w:t xml:space="preserve">Cumulative cases </w:t>
      </w:r>
      <w:r>
        <w:rPr>
          <w:rFonts w:ascii="Book Antiqua" w:hAnsi="Book Antiqua" w:cs="Arial Hebrew"/>
        </w:rPr>
        <w:t>refer to all cases that have been confirmed in the district since the beginning of the pandemic in TRPHD (March 19)</w:t>
      </w:r>
    </w:p>
    <w:p w14:paraId="2579A3BC" w14:textId="6764C1F2" w:rsidR="00FE0989" w:rsidRDefault="00FE0989" w:rsidP="00101B64">
      <w:pPr>
        <w:pStyle w:val="ListParagraph"/>
        <w:numPr>
          <w:ilvl w:val="0"/>
          <w:numId w:val="7"/>
        </w:numPr>
        <w:jc w:val="both"/>
        <w:rPr>
          <w:rFonts w:ascii="Book Antiqua" w:hAnsi="Book Antiqua" w:cs="Arial Hebrew"/>
        </w:rPr>
      </w:pPr>
      <w:r>
        <w:rPr>
          <w:rFonts w:ascii="Book Antiqua" w:hAnsi="Book Antiqua" w:cs="Arial Hebrew"/>
        </w:rPr>
        <w:t xml:space="preserve">Average positivity rate refers to a seven-day rolling average positivity rate, which is the </w:t>
      </w:r>
      <w:r w:rsidRPr="00FE0989">
        <w:rPr>
          <w:rFonts w:ascii="Book Antiqua" w:hAnsi="Book Antiqua" w:cs="Arial Hebrew"/>
        </w:rPr>
        <w:t>sum of all cases for that day and the previous six</w:t>
      </w:r>
      <w:r>
        <w:rPr>
          <w:rFonts w:ascii="Book Antiqua" w:hAnsi="Book Antiqua" w:cs="Arial Hebrew"/>
        </w:rPr>
        <w:t xml:space="preserve"> divided by the </w:t>
      </w:r>
      <w:r w:rsidRPr="00FE0989">
        <w:rPr>
          <w:rFonts w:ascii="Book Antiqua" w:hAnsi="Book Antiqua" w:cs="Arial Hebrew"/>
        </w:rPr>
        <w:t xml:space="preserve">sum of all </w:t>
      </w:r>
      <w:r>
        <w:rPr>
          <w:rFonts w:ascii="Book Antiqua" w:hAnsi="Book Antiqua" w:cs="Arial Hebrew"/>
        </w:rPr>
        <w:t>tests done</w:t>
      </w:r>
      <w:r w:rsidRPr="00FE0989">
        <w:rPr>
          <w:rFonts w:ascii="Book Antiqua" w:hAnsi="Book Antiqua" w:cs="Arial Hebrew"/>
        </w:rPr>
        <w:t xml:space="preserve"> </w:t>
      </w:r>
      <w:r>
        <w:rPr>
          <w:rFonts w:ascii="Book Antiqua" w:hAnsi="Book Antiqua" w:cs="Arial Hebrew"/>
        </w:rPr>
        <w:t>in</w:t>
      </w:r>
      <w:r w:rsidRPr="00FE0989">
        <w:rPr>
          <w:rFonts w:ascii="Book Antiqua" w:hAnsi="Book Antiqua" w:cs="Arial Hebrew"/>
        </w:rPr>
        <w:t xml:space="preserve"> that day and the previous six</w:t>
      </w:r>
    </w:p>
    <w:p w14:paraId="1F713D74" w14:textId="56DFB698" w:rsidR="00CC7BD1" w:rsidRDefault="00CC7BD1" w:rsidP="00CC7BD1">
      <w:pPr>
        <w:pStyle w:val="ListParagraph"/>
        <w:numPr>
          <w:ilvl w:val="1"/>
          <w:numId w:val="7"/>
        </w:numPr>
        <w:jc w:val="both"/>
        <w:rPr>
          <w:rFonts w:ascii="Book Antiqua" w:hAnsi="Book Antiqua" w:cs="Arial Hebrew"/>
        </w:rPr>
      </w:pPr>
      <w:r>
        <w:rPr>
          <w:rFonts w:ascii="Book Antiqua" w:hAnsi="Book Antiqua" w:cs="Arial Hebrew"/>
        </w:rPr>
        <w:t>Average positivity rate (in %) = (Sum of positive cases for current day + previous 6 days) / (Sum of total tests for current day + previous six days)</w:t>
      </w:r>
    </w:p>
    <w:p w14:paraId="11AE2644" w14:textId="6C681EB4" w:rsidR="00994305" w:rsidRDefault="00101B64" w:rsidP="00DF186E">
      <w:pPr>
        <w:pStyle w:val="ListParagraph"/>
        <w:numPr>
          <w:ilvl w:val="0"/>
          <w:numId w:val="7"/>
        </w:numPr>
        <w:jc w:val="both"/>
        <w:rPr>
          <w:rFonts w:ascii="Book Antiqua" w:hAnsi="Book Antiqua" w:cs="Arial Hebrew"/>
        </w:rPr>
      </w:pPr>
      <w:r w:rsidRPr="00FE0989">
        <w:rPr>
          <w:rFonts w:ascii="Book Antiqua" w:hAnsi="Book Antiqua" w:cs="Arial Hebrew"/>
        </w:rPr>
        <w:t xml:space="preserve">In cases that call for comparison across </w:t>
      </w:r>
      <w:r w:rsidR="000B7399">
        <w:rPr>
          <w:rFonts w:ascii="Book Antiqua" w:hAnsi="Book Antiqua" w:cs="Arial Hebrew"/>
        </w:rPr>
        <w:t>larger</w:t>
      </w:r>
      <w:r w:rsidRPr="00FE0989">
        <w:rPr>
          <w:rFonts w:ascii="Book Antiqua" w:hAnsi="Book Antiqua" w:cs="Arial Hebrew"/>
        </w:rPr>
        <w:t xml:space="preserve"> areas (counties v/s state of Nebraska, for </w:t>
      </w:r>
      <w:proofErr w:type="spellStart"/>
      <w:r w:rsidRPr="00FE0989">
        <w:rPr>
          <w:rFonts w:ascii="Book Antiqua" w:hAnsi="Book Antiqua" w:cs="Arial Hebrew"/>
        </w:rPr>
        <w:t>eg</w:t>
      </w:r>
      <w:proofErr w:type="spellEnd"/>
      <w:r w:rsidRPr="00FE0989">
        <w:rPr>
          <w:rFonts w:ascii="Book Antiqua" w:hAnsi="Book Antiqua" w:cs="Arial Hebrew"/>
        </w:rPr>
        <w:t>), we present the count per 100,000 population</w:t>
      </w:r>
      <w:r w:rsidR="00994305">
        <w:rPr>
          <w:rFonts w:ascii="Book Antiqua" w:hAnsi="Book Antiqua" w:cs="Arial Hebrew"/>
        </w:rPr>
        <w:t xml:space="preserve">. </w:t>
      </w:r>
      <w:r w:rsidR="004E22CC">
        <w:rPr>
          <w:rFonts w:ascii="Book Antiqua" w:hAnsi="Book Antiqua" w:cs="Arial Hebrew"/>
        </w:rPr>
        <w:t>100,000 roughly corresponds to the population of Two Rivers Health District (97,132)</w:t>
      </w:r>
    </w:p>
    <w:p w14:paraId="232DCD45" w14:textId="33EFCECD" w:rsidR="00994305" w:rsidRDefault="00994305" w:rsidP="00DF186E">
      <w:pPr>
        <w:pStyle w:val="ListParagraph"/>
        <w:numPr>
          <w:ilvl w:val="0"/>
          <w:numId w:val="7"/>
        </w:numPr>
        <w:jc w:val="both"/>
        <w:rPr>
          <w:rFonts w:ascii="Book Antiqua" w:hAnsi="Book Antiqua" w:cs="Arial Hebrew"/>
        </w:rPr>
      </w:pPr>
      <w:r>
        <w:rPr>
          <w:rFonts w:ascii="Book Antiqua" w:hAnsi="Book Antiqua" w:cs="Arial Hebrew"/>
        </w:rPr>
        <w:t xml:space="preserve">In cases that call for comparison between cities, (Kearney v/s Minden for </w:t>
      </w:r>
      <w:proofErr w:type="spellStart"/>
      <w:r>
        <w:rPr>
          <w:rFonts w:ascii="Book Antiqua" w:hAnsi="Book Antiqua" w:cs="Arial Hebrew"/>
        </w:rPr>
        <w:t>eg</w:t>
      </w:r>
      <w:proofErr w:type="spellEnd"/>
      <w:r>
        <w:rPr>
          <w:rFonts w:ascii="Book Antiqua" w:hAnsi="Book Antiqua" w:cs="Arial Hebrew"/>
        </w:rPr>
        <w:t>), we present a count per 10,000 population</w:t>
      </w:r>
      <w:r w:rsidR="00101B64" w:rsidRPr="00FE0989">
        <w:rPr>
          <w:rFonts w:ascii="Book Antiqua" w:hAnsi="Book Antiqua" w:cs="Arial Hebrew"/>
        </w:rPr>
        <w:t xml:space="preserve">. </w:t>
      </w:r>
      <w:r w:rsidR="004E22CC">
        <w:rPr>
          <w:rFonts w:ascii="Book Antiqua" w:hAnsi="Book Antiqua" w:cs="Arial Hebrew"/>
        </w:rPr>
        <w:t>10,000 roughly corresponds to the population of Lexington (10,115), the second largest city in TRPHD.</w:t>
      </w:r>
    </w:p>
    <w:p w14:paraId="5F62926A" w14:textId="1E68B7F1" w:rsidR="00101B64" w:rsidRDefault="00101B64" w:rsidP="00DF186E">
      <w:pPr>
        <w:pStyle w:val="ListParagraph"/>
        <w:numPr>
          <w:ilvl w:val="0"/>
          <w:numId w:val="7"/>
        </w:numPr>
        <w:jc w:val="both"/>
        <w:rPr>
          <w:rFonts w:ascii="Book Antiqua" w:hAnsi="Book Antiqua" w:cs="Arial Hebrew"/>
        </w:rPr>
      </w:pPr>
      <w:r w:rsidRPr="00FE0989">
        <w:rPr>
          <w:rFonts w:ascii="Book Antiqua" w:hAnsi="Book Antiqua" w:cs="Arial Hebrew"/>
        </w:rPr>
        <w:t>For calculation, we use the 2019 mid- year estimate (American Community Survey</w:t>
      </w:r>
      <w:r w:rsidR="00FE0989">
        <w:rPr>
          <w:rFonts w:ascii="Book Antiqua" w:hAnsi="Book Antiqua" w:cs="Arial Hebrew"/>
        </w:rPr>
        <w:t>,</w:t>
      </w:r>
      <w:r w:rsidRPr="00FE0989">
        <w:rPr>
          <w:rFonts w:ascii="Book Antiqua" w:hAnsi="Book Antiqua" w:cs="Arial Hebrew"/>
        </w:rPr>
        <w:t xml:space="preserve"> ACS) and data from </w:t>
      </w:r>
      <w:r w:rsidR="00477900">
        <w:rPr>
          <w:rFonts w:ascii="Book Antiqua" w:hAnsi="Book Antiqua" w:cs="Arial Hebrew"/>
        </w:rPr>
        <w:t>T</w:t>
      </w:r>
      <w:r w:rsidRPr="00FE0989">
        <w:rPr>
          <w:rFonts w:ascii="Book Antiqua" w:hAnsi="Book Antiqua" w:cs="Arial Hebrew"/>
        </w:rPr>
        <w:t>he Atlantic’s COVID tracking project (</w:t>
      </w:r>
      <w:hyperlink r:id="rId16" w:history="1">
        <w:r w:rsidR="00440991" w:rsidRPr="00BD2453">
          <w:rPr>
            <w:rStyle w:val="Hyperlink"/>
            <w:rFonts w:ascii="Book Antiqua" w:hAnsi="Book Antiqua" w:cs="Arial Hebrew"/>
          </w:rPr>
          <w:t>https://covidtracking.com/data</w:t>
        </w:r>
      </w:hyperlink>
      <w:r w:rsidRPr="00FE0989">
        <w:rPr>
          <w:rFonts w:ascii="Book Antiqua" w:hAnsi="Book Antiqua" w:cs="Arial Hebrew"/>
        </w:rPr>
        <w:t>)</w:t>
      </w:r>
      <w:r w:rsidR="00440991">
        <w:rPr>
          <w:rFonts w:ascii="Book Antiqua" w:hAnsi="Book Antiqua" w:cs="Arial Hebrew"/>
        </w:rPr>
        <w:t xml:space="preserve"> </w:t>
      </w:r>
    </w:p>
    <w:p w14:paraId="105A78C4" w14:textId="384DA769" w:rsidR="00397C5F" w:rsidRPr="00397C5F" w:rsidRDefault="00F54D27" w:rsidP="000F4E04">
      <w:pPr>
        <w:spacing w:after="160" w:line="259" w:lineRule="auto"/>
        <w:jc w:val="center"/>
        <w:rPr>
          <w:rFonts w:ascii="Book Antiqua" w:eastAsiaTheme="minorHAnsi" w:hAnsi="Book Antiqua" w:cs="Arial Hebrew"/>
          <w:b/>
          <w:bCs/>
          <w:sz w:val="22"/>
          <w:szCs w:val="22"/>
          <w:u w:val="single"/>
        </w:rPr>
      </w:pPr>
      <w:r>
        <w:rPr>
          <w:rFonts w:ascii="Book Antiqua" w:eastAsiaTheme="minorHAnsi" w:hAnsi="Book Antiqua" w:cs="Arial Hebrew"/>
          <w:b/>
          <w:bCs/>
          <w:sz w:val="22"/>
          <w:szCs w:val="22"/>
          <w:u w:val="single"/>
        </w:rPr>
        <w:br w:type="page"/>
      </w:r>
      <w:r w:rsidR="00397C5F">
        <w:rPr>
          <w:rFonts w:ascii="Book Antiqua" w:eastAsiaTheme="minorHAnsi" w:hAnsi="Book Antiqua" w:cs="Arial Hebrew"/>
          <w:b/>
          <w:bCs/>
          <w:sz w:val="22"/>
          <w:szCs w:val="22"/>
          <w:u w:val="single"/>
        </w:rPr>
        <w:lastRenderedPageBreak/>
        <w:t>APPENDIX 2</w:t>
      </w:r>
    </w:p>
    <w:p w14:paraId="460E47EE" w14:textId="4E004D04" w:rsidR="00397C5F" w:rsidRPr="00397C5F" w:rsidRDefault="00AE636D" w:rsidP="00440991">
      <w:pPr>
        <w:spacing w:after="160" w:line="259" w:lineRule="auto"/>
        <w:rPr>
          <w:rFonts w:ascii="Book Antiqua" w:eastAsiaTheme="minorHAnsi" w:hAnsi="Book Antiqua" w:cs="Arial Hebrew"/>
          <w:b/>
          <w:bCs/>
          <w:sz w:val="22"/>
          <w:szCs w:val="22"/>
        </w:rPr>
      </w:pPr>
      <w:r>
        <w:rPr>
          <w:rFonts w:ascii="Book Antiqua" w:eastAsiaTheme="minorHAnsi" w:hAnsi="Book Antiqua" w:cs="Arial Hebrew"/>
          <w:b/>
          <w:bCs/>
          <w:sz w:val="22"/>
          <w:szCs w:val="22"/>
        </w:rPr>
        <w:t>C</w:t>
      </w:r>
      <w:r w:rsidR="00397C5F">
        <w:rPr>
          <w:rFonts w:ascii="Book Antiqua" w:eastAsiaTheme="minorHAnsi" w:hAnsi="Book Antiqua" w:cs="Arial Hebrew"/>
          <w:b/>
          <w:bCs/>
          <w:sz w:val="22"/>
          <w:szCs w:val="22"/>
        </w:rPr>
        <w:t>ases per 10,000 population</w:t>
      </w:r>
    </w:p>
    <w:p w14:paraId="248C4CD8" w14:textId="00D0446C" w:rsidR="00AE636D" w:rsidRDefault="00AE636D" w:rsidP="00CC6073">
      <w:pPr>
        <w:spacing w:after="160" w:line="259" w:lineRule="auto"/>
        <w:jc w:val="both"/>
        <w:rPr>
          <w:rFonts w:ascii="Book Antiqua" w:eastAsiaTheme="minorHAnsi" w:hAnsi="Book Antiqua" w:cs="Arial Hebrew"/>
          <w:sz w:val="22"/>
          <w:szCs w:val="22"/>
        </w:rPr>
      </w:pPr>
      <w:r>
        <w:rPr>
          <w:rFonts w:ascii="Book Antiqua" w:eastAsiaTheme="minorHAnsi" w:hAnsi="Book Antiqua" w:cs="Arial Hebrew"/>
          <w:sz w:val="22"/>
          <w:szCs w:val="22"/>
        </w:rPr>
        <w:t xml:space="preserve">Daily case counts are the </w:t>
      </w:r>
      <w:r w:rsidRPr="00AE636D">
        <w:rPr>
          <w:rFonts w:ascii="Book Antiqua" w:eastAsiaTheme="minorHAnsi" w:hAnsi="Book Antiqua" w:cs="Arial Hebrew"/>
          <w:b/>
          <w:bCs/>
          <w:sz w:val="22"/>
          <w:szCs w:val="22"/>
        </w:rPr>
        <w:t>7-day rolling average</w:t>
      </w:r>
      <w:r>
        <w:rPr>
          <w:rFonts w:ascii="Book Antiqua" w:eastAsiaTheme="minorHAnsi" w:hAnsi="Book Antiqua" w:cs="Arial Hebrew"/>
          <w:sz w:val="22"/>
          <w:szCs w:val="22"/>
        </w:rPr>
        <w:t xml:space="preserve"> of cases expressed as a fraction of the population of the area, and standardized to 10,000 persons.</w:t>
      </w:r>
    </w:p>
    <w:p w14:paraId="63594923" w14:textId="6349BAAA" w:rsidR="00AE636D" w:rsidRDefault="00397C5F" w:rsidP="00CC6073">
      <w:pPr>
        <w:spacing w:after="160" w:line="259" w:lineRule="auto"/>
        <w:jc w:val="both"/>
        <w:rPr>
          <w:rFonts w:ascii="Book Antiqua" w:eastAsiaTheme="minorHAnsi" w:hAnsi="Book Antiqua" w:cs="Arial Hebrew"/>
          <w:sz w:val="22"/>
          <w:szCs w:val="22"/>
        </w:rPr>
      </w:pPr>
      <w:r>
        <w:rPr>
          <w:rFonts w:ascii="Book Antiqua" w:eastAsiaTheme="minorHAnsi" w:hAnsi="Book Antiqua" w:cs="Arial Hebrew"/>
          <w:sz w:val="22"/>
          <w:szCs w:val="22"/>
        </w:rPr>
        <w:t>The t</w:t>
      </w:r>
      <w:r w:rsidR="00440991">
        <w:rPr>
          <w:rFonts w:ascii="Book Antiqua" w:eastAsiaTheme="minorHAnsi" w:hAnsi="Book Antiqua" w:cs="Arial Hebrew"/>
          <w:sz w:val="22"/>
          <w:szCs w:val="22"/>
        </w:rPr>
        <w:t xml:space="preserve">otal/ cumulative case counts are the </w:t>
      </w:r>
      <w:r w:rsidR="00440991" w:rsidRPr="00AE636D">
        <w:rPr>
          <w:rFonts w:ascii="Book Antiqua" w:eastAsiaTheme="minorHAnsi" w:hAnsi="Book Antiqua" w:cs="Arial Hebrew"/>
          <w:b/>
          <w:bCs/>
          <w:sz w:val="22"/>
          <w:szCs w:val="22"/>
        </w:rPr>
        <w:t>total</w:t>
      </w:r>
      <w:r w:rsidR="00440991">
        <w:rPr>
          <w:rFonts w:ascii="Book Antiqua" w:eastAsiaTheme="minorHAnsi" w:hAnsi="Book Antiqua" w:cs="Arial Hebrew"/>
          <w:sz w:val="22"/>
          <w:szCs w:val="22"/>
        </w:rPr>
        <w:t xml:space="preserve"> cases counted in an area</w:t>
      </w:r>
      <w:r w:rsidR="007B6657">
        <w:rPr>
          <w:rFonts w:ascii="Book Antiqua" w:eastAsiaTheme="minorHAnsi" w:hAnsi="Book Antiqua" w:cs="Arial Hebrew"/>
          <w:sz w:val="22"/>
          <w:szCs w:val="22"/>
        </w:rPr>
        <w:t xml:space="preserve"> (county, city, urban region or health district)</w:t>
      </w:r>
      <w:r w:rsidR="00440991">
        <w:rPr>
          <w:rFonts w:ascii="Book Antiqua" w:eastAsiaTheme="minorHAnsi" w:hAnsi="Book Antiqua" w:cs="Arial Hebrew"/>
          <w:sz w:val="22"/>
          <w:szCs w:val="22"/>
        </w:rPr>
        <w:t xml:space="preserve"> from the first recorded case in the </w:t>
      </w:r>
      <w:r w:rsidR="007B6657">
        <w:rPr>
          <w:rFonts w:ascii="Book Antiqua" w:eastAsiaTheme="minorHAnsi" w:hAnsi="Book Antiqua" w:cs="Arial Hebrew"/>
          <w:sz w:val="22"/>
          <w:szCs w:val="22"/>
        </w:rPr>
        <w:t>area</w:t>
      </w:r>
      <w:r w:rsidR="00440991">
        <w:rPr>
          <w:rFonts w:ascii="Book Antiqua" w:eastAsiaTheme="minorHAnsi" w:hAnsi="Book Antiqua" w:cs="Arial Hebrew"/>
          <w:sz w:val="22"/>
          <w:szCs w:val="22"/>
        </w:rPr>
        <w:t xml:space="preserve"> (in case of TRPHD this is March 19</w:t>
      </w:r>
      <w:r w:rsidR="00F6742B">
        <w:rPr>
          <w:rFonts w:ascii="Book Antiqua" w:eastAsiaTheme="minorHAnsi" w:hAnsi="Book Antiqua" w:cs="Arial Hebrew"/>
          <w:sz w:val="22"/>
          <w:szCs w:val="22"/>
        </w:rPr>
        <w:t>, 2020</w:t>
      </w:r>
      <w:r w:rsidR="00440991">
        <w:rPr>
          <w:rFonts w:ascii="Book Antiqua" w:eastAsiaTheme="minorHAnsi" w:hAnsi="Book Antiqua" w:cs="Arial Hebrew"/>
          <w:sz w:val="22"/>
          <w:szCs w:val="22"/>
        </w:rPr>
        <w:t>)</w:t>
      </w:r>
      <w:r w:rsidR="00F6742B">
        <w:rPr>
          <w:rFonts w:ascii="Book Antiqua" w:eastAsiaTheme="minorHAnsi" w:hAnsi="Book Antiqua" w:cs="Arial Hebrew"/>
          <w:sz w:val="22"/>
          <w:szCs w:val="22"/>
        </w:rPr>
        <w:t xml:space="preserve">. This is expressed </w:t>
      </w:r>
      <w:r w:rsidR="00440991">
        <w:rPr>
          <w:rFonts w:ascii="Book Antiqua" w:eastAsiaTheme="minorHAnsi" w:hAnsi="Book Antiqua" w:cs="Arial Hebrew"/>
          <w:sz w:val="22"/>
          <w:szCs w:val="22"/>
        </w:rPr>
        <w:t xml:space="preserve">as a fraction of the </w:t>
      </w:r>
      <w:r w:rsidR="00F6742B">
        <w:rPr>
          <w:rFonts w:ascii="Book Antiqua" w:eastAsiaTheme="minorHAnsi" w:hAnsi="Book Antiqua" w:cs="Arial Hebrew"/>
          <w:sz w:val="22"/>
          <w:szCs w:val="22"/>
        </w:rPr>
        <w:t xml:space="preserve">total </w:t>
      </w:r>
      <w:r w:rsidR="00440991">
        <w:rPr>
          <w:rFonts w:ascii="Book Antiqua" w:eastAsiaTheme="minorHAnsi" w:hAnsi="Book Antiqua" w:cs="Arial Hebrew"/>
          <w:sz w:val="22"/>
          <w:szCs w:val="22"/>
        </w:rPr>
        <w:t xml:space="preserve">population of the area and standardized to 10,000 persons. </w:t>
      </w:r>
    </w:p>
    <w:p w14:paraId="32C8371D" w14:textId="4B323FD7" w:rsidR="00CC6073" w:rsidRDefault="00440991" w:rsidP="00CC6073">
      <w:pPr>
        <w:spacing w:after="160" w:line="259" w:lineRule="auto"/>
        <w:jc w:val="both"/>
        <w:rPr>
          <w:rFonts w:ascii="Book Antiqua" w:hAnsi="Book Antiqua" w:cs="Arial Hebrew"/>
          <w:sz w:val="22"/>
          <w:szCs w:val="22"/>
        </w:rPr>
      </w:pPr>
      <w:r>
        <w:rPr>
          <w:rFonts w:ascii="Book Antiqua" w:eastAsiaTheme="minorHAnsi" w:hAnsi="Book Antiqua" w:cs="Arial Hebrew"/>
          <w:sz w:val="22"/>
          <w:szCs w:val="22"/>
        </w:rPr>
        <w:t xml:space="preserve">10,000 is used </w:t>
      </w:r>
      <w:r w:rsidR="007B6657">
        <w:rPr>
          <w:rFonts w:ascii="Book Antiqua" w:eastAsiaTheme="minorHAnsi" w:hAnsi="Book Antiqua" w:cs="Arial Hebrew"/>
          <w:sz w:val="22"/>
          <w:szCs w:val="22"/>
        </w:rPr>
        <w:t>while</w:t>
      </w:r>
      <w:r>
        <w:rPr>
          <w:rFonts w:ascii="Book Antiqua" w:eastAsiaTheme="minorHAnsi" w:hAnsi="Book Antiqua" w:cs="Arial Hebrew"/>
          <w:sz w:val="22"/>
          <w:szCs w:val="22"/>
        </w:rPr>
        <w:t xml:space="preserve"> describ</w:t>
      </w:r>
      <w:r w:rsidR="007B6657">
        <w:rPr>
          <w:rFonts w:ascii="Book Antiqua" w:eastAsiaTheme="minorHAnsi" w:hAnsi="Book Antiqua" w:cs="Arial Hebrew"/>
          <w:sz w:val="22"/>
          <w:szCs w:val="22"/>
        </w:rPr>
        <w:t>ing</w:t>
      </w:r>
      <w:r>
        <w:rPr>
          <w:rFonts w:ascii="Book Antiqua" w:eastAsiaTheme="minorHAnsi" w:hAnsi="Book Antiqua" w:cs="Arial Hebrew"/>
          <w:sz w:val="22"/>
          <w:szCs w:val="22"/>
        </w:rPr>
        <w:t xml:space="preserve"> cities</w:t>
      </w:r>
      <w:r w:rsidR="007B6657">
        <w:rPr>
          <w:rFonts w:ascii="Book Antiqua" w:eastAsiaTheme="minorHAnsi" w:hAnsi="Book Antiqua" w:cs="Arial Hebrew"/>
          <w:sz w:val="22"/>
          <w:szCs w:val="22"/>
        </w:rPr>
        <w:t xml:space="preserve"> in Two Rivers District</w:t>
      </w:r>
      <w:r>
        <w:rPr>
          <w:rFonts w:ascii="Book Antiqua" w:eastAsiaTheme="minorHAnsi" w:hAnsi="Book Antiqua" w:cs="Arial Hebrew"/>
          <w:sz w:val="22"/>
          <w:szCs w:val="22"/>
        </w:rPr>
        <w:t xml:space="preserve"> as it offers a rough mean value </w:t>
      </w:r>
      <w:r w:rsidR="00263B6D">
        <w:rPr>
          <w:rFonts w:ascii="Book Antiqua" w:eastAsiaTheme="minorHAnsi" w:hAnsi="Book Antiqua" w:cs="Arial Hebrew"/>
          <w:sz w:val="22"/>
          <w:szCs w:val="22"/>
        </w:rPr>
        <w:t xml:space="preserve">that </w:t>
      </w:r>
      <w:r w:rsidR="00CC6073">
        <w:rPr>
          <w:rFonts w:ascii="Book Antiqua" w:eastAsiaTheme="minorHAnsi" w:hAnsi="Book Antiqua" w:cs="Arial Hebrew"/>
          <w:sz w:val="22"/>
          <w:szCs w:val="22"/>
        </w:rPr>
        <w:t>is comparable across</w:t>
      </w:r>
      <w:r w:rsidR="00263B6D">
        <w:rPr>
          <w:rFonts w:ascii="Book Antiqua" w:eastAsiaTheme="minorHAnsi" w:hAnsi="Book Antiqua" w:cs="Arial Hebrew"/>
          <w:sz w:val="22"/>
          <w:szCs w:val="22"/>
        </w:rPr>
        <w:t xml:space="preserve"> the population</w:t>
      </w:r>
      <w:r w:rsidR="00CC6073">
        <w:rPr>
          <w:rFonts w:ascii="Book Antiqua" w:eastAsiaTheme="minorHAnsi" w:hAnsi="Book Antiqua" w:cs="Arial Hebrew"/>
          <w:sz w:val="22"/>
          <w:szCs w:val="22"/>
        </w:rPr>
        <w:t>s</w:t>
      </w:r>
      <w:r w:rsidR="00263B6D">
        <w:rPr>
          <w:rFonts w:ascii="Book Antiqua" w:eastAsiaTheme="minorHAnsi" w:hAnsi="Book Antiqua" w:cs="Arial Hebrew"/>
          <w:sz w:val="22"/>
          <w:szCs w:val="22"/>
        </w:rPr>
        <w:t xml:space="preserve"> of </w:t>
      </w:r>
      <w:r w:rsidR="00CC6073" w:rsidRPr="00390189">
        <w:rPr>
          <w:rFonts w:ascii="Book Antiqua" w:hAnsi="Book Antiqua" w:cs="Arial Hebrew"/>
          <w:sz w:val="22"/>
          <w:szCs w:val="22"/>
        </w:rPr>
        <w:t>Holdrege</w:t>
      </w:r>
      <w:r w:rsidR="00CC6073">
        <w:rPr>
          <w:rFonts w:ascii="Book Antiqua" w:hAnsi="Book Antiqua" w:cs="Arial Hebrew"/>
          <w:sz w:val="22"/>
          <w:szCs w:val="22"/>
        </w:rPr>
        <w:t xml:space="preserve"> (pop. 5408),</w:t>
      </w:r>
      <w:r w:rsidR="00CC6073" w:rsidRPr="00390189">
        <w:rPr>
          <w:rFonts w:ascii="Book Antiqua" w:hAnsi="Book Antiqua" w:cs="Arial Hebrew"/>
          <w:sz w:val="22"/>
          <w:szCs w:val="22"/>
        </w:rPr>
        <w:t xml:space="preserve"> Lexington</w:t>
      </w:r>
      <w:r w:rsidR="00CC6073">
        <w:rPr>
          <w:rFonts w:ascii="Book Antiqua" w:hAnsi="Book Antiqua" w:cs="Arial Hebrew"/>
          <w:sz w:val="22"/>
          <w:szCs w:val="22"/>
        </w:rPr>
        <w:t xml:space="preserve"> (pop. 10115)</w:t>
      </w:r>
      <w:r w:rsidR="00CC6073" w:rsidRPr="00390189">
        <w:rPr>
          <w:rFonts w:ascii="Book Antiqua" w:hAnsi="Book Antiqua" w:cs="Arial Hebrew"/>
          <w:sz w:val="22"/>
          <w:szCs w:val="22"/>
        </w:rPr>
        <w:t xml:space="preserve"> and Kearney</w:t>
      </w:r>
      <w:r w:rsidR="00CC6073">
        <w:rPr>
          <w:rFonts w:ascii="Book Antiqua" w:hAnsi="Book Antiqua" w:cs="Arial Hebrew"/>
          <w:sz w:val="22"/>
          <w:szCs w:val="22"/>
        </w:rPr>
        <w:t xml:space="preserve"> (pop. 33867).</w:t>
      </w:r>
    </w:p>
    <w:p w14:paraId="43CDA74F" w14:textId="6F8653D2" w:rsidR="00440991" w:rsidRDefault="00440991" w:rsidP="00CC6073">
      <w:pPr>
        <w:spacing w:after="160" w:line="259" w:lineRule="auto"/>
        <w:jc w:val="both"/>
        <w:rPr>
          <w:rFonts w:ascii="Book Antiqua" w:eastAsiaTheme="minorHAnsi" w:hAnsi="Book Antiqua" w:cs="Arial Hebrew"/>
          <w:sz w:val="22"/>
          <w:szCs w:val="22"/>
        </w:rPr>
      </w:pPr>
      <w:r>
        <w:rPr>
          <w:rFonts w:ascii="Book Antiqua" w:eastAsiaTheme="minorHAnsi" w:hAnsi="Book Antiqua" w:cs="Arial Hebrew"/>
          <w:sz w:val="22"/>
          <w:szCs w:val="22"/>
        </w:rPr>
        <w:t>Population</w:t>
      </w:r>
      <w:r w:rsidR="00CC6073">
        <w:rPr>
          <w:rFonts w:ascii="Book Antiqua" w:eastAsiaTheme="minorHAnsi" w:hAnsi="Book Antiqua" w:cs="Arial Hebrew"/>
          <w:sz w:val="22"/>
          <w:szCs w:val="22"/>
        </w:rPr>
        <w:t xml:space="preserve"> number</w:t>
      </w:r>
      <w:r>
        <w:rPr>
          <w:rFonts w:ascii="Book Antiqua" w:eastAsiaTheme="minorHAnsi" w:hAnsi="Book Antiqua" w:cs="Arial Hebrew"/>
          <w:sz w:val="22"/>
          <w:szCs w:val="22"/>
        </w:rPr>
        <w:t xml:space="preserve">s used are from the American Community Survey (ACS 2019 mid-year estimates). For further detail, see: </w:t>
      </w:r>
      <w:hyperlink r:id="rId17" w:history="1">
        <w:r w:rsidRPr="00BD2453">
          <w:rPr>
            <w:rStyle w:val="Hyperlink"/>
            <w:rFonts w:ascii="Book Antiqua" w:eastAsiaTheme="minorHAnsi" w:hAnsi="Book Antiqua" w:cs="Arial Hebrew"/>
            <w:sz w:val="22"/>
            <w:szCs w:val="22"/>
          </w:rPr>
          <w:t>https://www.census.gov/programs-surveys/acs/data.html</w:t>
        </w:r>
      </w:hyperlink>
      <w:r>
        <w:rPr>
          <w:rFonts w:ascii="Book Antiqua" w:eastAsiaTheme="minorHAnsi" w:hAnsi="Book Antiqua" w:cs="Arial Hebrew"/>
          <w:sz w:val="22"/>
          <w:szCs w:val="22"/>
        </w:rPr>
        <w:t xml:space="preserve"> </w:t>
      </w:r>
    </w:p>
    <w:p w14:paraId="45F90557" w14:textId="7D0163B9" w:rsidR="00CE5EEC" w:rsidRDefault="00CE5EEC" w:rsidP="00CE5EEC">
      <w:pPr>
        <w:spacing w:after="160"/>
        <w:ind w:firstLine="720"/>
        <w:rPr>
          <w:rFonts w:ascii="Book Antiqua" w:eastAsiaTheme="minorHAnsi" w:hAnsi="Book Antiqua" w:cs="Arial Hebrew"/>
          <w:sz w:val="22"/>
          <w:szCs w:val="22"/>
        </w:rPr>
      </w:pPr>
      <w:r>
        <w:rPr>
          <w:rFonts w:ascii="Book Antiqua" w:eastAsiaTheme="minorHAnsi" w:hAnsi="Book Antiqua" w:cs="Arial Hebrew"/>
          <w:sz w:val="22"/>
          <w:szCs w:val="22"/>
        </w:rPr>
        <w:t>7-Day rolling average/ 10,000 persons is calculated as:</w:t>
      </w:r>
    </w:p>
    <w:p w14:paraId="395B9E81" w14:textId="65533FCF" w:rsidR="00CE5EEC" w:rsidRPr="00CE5EEC" w:rsidRDefault="00CE5EEC" w:rsidP="00440991">
      <w:pPr>
        <w:spacing w:after="160"/>
        <w:rPr>
          <w:rFonts w:ascii="Book Antiqua" w:eastAsiaTheme="minorHAnsi" w:hAnsi="Book Antiqua" w:cs="Arial Hebrew"/>
          <w:b/>
          <w:bCs/>
          <w:sz w:val="22"/>
          <w:szCs w:val="22"/>
        </w:rPr>
      </w:pPr>
      <w:r>
        <w:rPr>
          <w:rFonts w:ascii="Book Antiqua" w:eastAsiaTheme="minorHAnsi" w:hAnsi="Book Antiqua" w:cs="Arial Hebrew"/>
          <w:sz w:val="22"/>
          <w:szCs w:val="22"/>
        </w:rPr>
        <w:t>[</w:t>
      </w:r>
      <w:r>
        <w:rPr>
          <w:rFonts w:ascii="Book Antiqua" w:eastAsiaTheme="minorHAnsi" w:hAnsi="Book Antiqua" w:cs="Arial Hebrew"/>
          <w:b/>
          <w:bCs/>
          <w:sz w:val="22"/>
          <w:szCs w:val="22"/>
        </w:rPr>
        <w:t>(Sum of case counts for the most immediate 7 days) / 7)]  / (mid-year population) * 10,000</w:t>
      </w:r>
    </w:p>
    <w:p w14:paraId="3D824484" w14:textId="62287AB9" w:rsidR="00440991" w:rsidRDefault="00440991" w:rsidP="00CE5EEC">
      <w:pPr>
        <w:spacing w:after="160"/>
        <w:ind w:firstLine="720"/>
        <w:rPr>
          <w:rFonts w:ascii="Book Antiqua" w:eastAsiaTheme="minorHAnsi" w:hAnsi="Book Antiqua" w:cs="Arial Hebrew"/>
          <w:sz w:val="22"/>
          <w:szCs w:val="22"/>
        </w:rPr>
      </w:pPr>
      <w:r>
        <w:rPr>
          <w:rFonts w:ascii="Book Antiqua" w:eastAsiaTheme="minorHAnsi" w:hAnsi="Book Antiqua" w:cs="Arial Hebrew"/>
          <w:sz w:val="22"/>
          <w:szCs w:val="22"/>
        </w:rPr>
        <w:t>Total cases/ 10,000 persons is calculated as:</w:t>
      </w:r>
    </w:p>
    <w:p w14:paraId="7EC769DB" w14:textId="71D7EDEE" w:rsidR="00440991" w:rsidRPr="00397C5F" w:rsidRDefault="00440991" w:rsidP="00CE5EEC">
      <w:pPr>
        <w:spacing w:after="160"/>
        <w:rPr>
          <w:rFonts w:ascii="Book Antiqua" w:eastAsiaTheme="minorHAnsi" w:hAnsi="Book Antiqua" w:cs="Arial Hebrew"/>
          <w:b/>
          <w:bCs/>
          <w:sz w:val="22"/>
          <w:szCs w:val="22"/>
        </w:rPr>
      </w:pPr>
      <w:r w:rsidRPr="00397C5F">
        <w:rPr>
          <w:rFonts w:ascii="Book Antiqua" w:eastAsiaTheme="minorHAnsi" w:hAnsi="Book Antiqua" w:cs="Arial Hebrew"/>
          <w:b/>
          <w:bCs/>
          <w:sz w:val="22"/>
          <w:szCs w:val="22"/>
        </w:rPr>
        <w:t>(Total COVID cases)/ (mid-year population)*10000</w:t>
      </w:r>
    </w:p>
    <w:p w14:paraId="0FF66DEA" w14:textId="7BE35769" w:rsidR="00440991" w:rsidRDefault="00440991" w:rsidP="00440991">
      <w:pPr>
        <w:ind w:firstLine="720"/>
      </w:pPr>
    </w:p>
    <w:p w14:paraId="04FF64C7" w14:textId="723FBDB0" w:rsidR="00751B87" w:rsidRPr="00397C5F" w:rsidRDefault="00751B87" w:rsidP="00751B87">
      <w:pPr>
        <w:spacing w:after="160" w:line="259" w:lineRule="auto"/>
        <w:rPr>
          <w:rFonts w:ascii="Book Antiqua" w:eastAsiaTheme="minorHAnsi" w:hAnsi="Book Antiqua" w:cs="Arial Hebrew"/>
          <w:b/>
          <w:bCs/>
          <w:sz w:val="22"/>
          <w:szCs w:val="22"/>
        </w:rPr>
      </w:pPr>
      <w:r>
        <w:rPr>
          <w:rFonts w:ascii="Book Antiqua" w:eastAsiaTheme="minorHAnsi" w:hAnsi="Book Antiqua" w:cs="Arial Hebrew"/>
          <w:b/>
          <w:bCs/>
          <w:sz w:val="22"/>
          <w:szCs w:val="22"/>
        </w:rPr>
        <w:t>Cases per 100,000 population</w:t>
      </w:r>
    </w:p>
    <w:p w14:paraId="54C9E9E1" w14:textId="125D1009" w:rsidR="00751B87" w:rsidRDefault="00751B87" w:rsidP="00751B87">
      <w:pPr>
        <w:spacing w:after="160" w:line="259" w:lineRule="auto"/>
        <w:jc w:val="both"/>
        <w:rPr>
          <w:rFonts w:ascii="Book Antiqua" w:eastAsiaTheme="minorHAnsi" w:hAnsi="Book Antiqua" w:cs="Arial Hebrew"/>
          <w:sz w:val="22"/>
          <w:szCs w:val="22"/>
        </w:rPr>
      </w:pPr>
      <w:r>
        <w:rPr>
          <w:rFonts w:ascii="Book Antiqua" w:eastAsiaTheme="minorHAnsi" w:hAnsi="Book Antiqua" w:cs="Arial Hebrew"/>
          <w:sz w:val="22"/>
          <w:szCs w:val="22"/>
        </w:rPr>
        <w:t xml:space="preserve">Daily case counts are the </w:t>
      </w:r>
      <w:r w:rsidRPr="00AE636D">
        <w:rPr>
          <w:rFonts w:ascii="Book Antiqua" w:eastAsiaTheme="minorHAnsi" w:hAnsi="Book Antiqua" w:cs="Arial Hebrew"/>
          <w:b/>
          <w:bCs/>
          <w:sz w:val="22"/>
          <w:szCs w:val="22"/>
        </w:rPr>
        <w:t>7-day rolling average</w:t>
      </w:r>
      <w:r>
        <w:rPr>
          <w:rFonts w:ascii="Book Antiqua" w:eastAsiaTheme="minorHAnsi" w:hAnsi="Book Antiqua" w:cs="Arial Hebrew"/>
          <w:sz w:val="22"/>
          <w:szCs w:val="22"/>
        </w:rPr>
        <w:t xml:space="preserve"> of cases expressed as a fraction of the population of the area, and standardized to 100,000 persons.</w:t>
      </w:r>
    </w:p>
    <w:p w14:paraId="5E34E80A" w14:textId="1E066F2A" w:rsidR="00751B87" w:rsidRDefault="00751B87" w:rsidP="00751B87">
      <w:pPr>
        <w:spacing w:after="160" w:line="259" w:lineRule="auto"/>
        <w:jc w:val="both"/>
        <w:rPr>
          <w:rFonts w:ascii="Book Antiqua" w:hAnsi="Book Antiqua" w:cs="Arial Hebrew"/>
          <w:sz w:val="22"/>
          <w:szCs w:val="22"/>
        </w:rPr>
      </w:pPr>
      <w:r>
        <w:rPr>
          <w:rFonts w:ascii="Book Antiqua" w:eastAsiaTheme="minorHAnsi" w:hAnsi="Book Antiqua" w:cs="Arial Hebrew"/>
          <w:sz w:val="22"/>
          <w:szCs w:val="22"/>
        </w:rPr>
        <w:t>A population of 100,000 is used to compare urban areas (like Kearney urban area) as it is comparable to the overall population of Two Rivers Health District (97,032)</w:t>
      </w:r>
      <w:r>
        <w:rPr>
          <w:rFonts w:ascii="Book Antiqua" w:hAnsi="Book Antiqua" w:cs="Arial Hebrew"/>
          <w:sz w:val="22"/>
          <w:szCs w:val="22"/>
        </w:rPr>
        <w:t>.</w:t>
      </w:r>
    </w:p>
    <w:p w14:paraId="2EB6C00B" w14:textId="77777777" w:rsidR="00751B87" w:rsidRDefault="00751B87" w:rsidP="00751B87">
      <w:pPr>
        <w:spacing w:after="160" w:line="259" w:lineRule="auto"/>
        <w:jc w:val="both"/>
        <w:rPr>
          <w:rFonts w:ascii="Book Antiqua" w:eastAsiaTheme="minorHAnsi" w:hAnsi="Book Antiqua" w:cs="Arial Hebrew"/>
          <w:sz w:val="22"/>
          <w:szCs w:val="22"/>
        </w:rPr>
      </w:pPr>
      <w:r>
        <w:rPr>
          <w:rFonts w:ascii="Book Antiqua" w:eastAsiaTheme="minorHAnsi" w:hAnsi="Book Antiqua" w:cs="Arial Hebrew"/>
          <w:sz w:val="22"/>
          <w:szCs w:val="22"/>
        </w:rPr>
        <w:t xml:space="preserve">Population numbers used are from the American Community Survey (ACS 2019 mid-year estimates). For further detail, see: </w:t>
      </w:r>
      <w:hyperlink r:id="rId18" w:history="1">
        <w:r w:rsidRPr="00BD2453">
          <w:rPr>
            <w:rStyle w:val="Hyperlink"/>
            <w:rFonts w:ascii="Book Antiqua" w:eastAsiaTheme="minorHAnsi" w:hAnsi="Book Antiqua" w:cs="Arial Hebrew"/>
            <w:sz w:val="22"/>
            <w:szCs w:val="22"/>
          </w:rPr>
          <w:t>https://www.census.gov/programs-surveys/acs/data.html</w:t>
        </w:r>
      </w:hyperlink>
      <w:r>
        <w:rPr>
          <w:rFonts w:ascii="Book Antiqua" w:eastAsiaTheme="minorHAnsi" w:hAnsi="Book Antiqua" w:cs="Arial Hebrew"/>
          <w:sz w:val="22"/>
          <w:szCs w:val="22"/>
        </w:rPr>
        <w:t xml:space="preserve"> </w:t>
      </w:r>
    </w:p>
    <w:p w14:paraId="33F23BDD" w14:textId="11AC8954" w:rsidR="00751B87" w:rsidRDefault="00751B87" w:rsidP="00751B87">
      <w:pPr>
        <w:spacing w:after="160"/>
        <w:ind w:firstLine="720"/>
        <w:rPr>
          <w:rFonts w:ascii="Book Antiqua" w:eastAsiaTheme="minorHAnsi" w:hAnsi="Book Antiqua" w:cs="Arial Hebrew"/>
          <w:sz w:val="22"/>
          <w:szCs w:val="22"/>
        </w:rPr>
      </w:pPr>
      <w:r>
        <w:rPr>
          <w:rFonts w:ascii="Book Antiqua" w:eastAsiaTheme="minorHAnsi" w:hAnsi="Book Antiqua" w:cs="Arial Hebrew"/>
          <w:sz w:val="22"/>
          <w:szCs w:val="22"/>
        </w:rPr>
        <w:t>7-Day rolling average/ 100,000 persons is calculated as:</w:t>
      </w:r>
    </w:p>
    <w:p w14:paraId="6D604B20" w14:textId="42400352" w:rsidR="00440991" w:rsidRPr="007A4356" w:rsidRDefault="00751B87" w:rsidP="00751B87">
      <w:pPr>
        <w:spacing w:after="160"/>
        <w:rPr>
          <w:rFonts w:ascii="Book Antiqua" w:eastAsiaTheme="minorHAnsi" w:hAnsi="Book Antiqua" w:cs="Arial Hebrew"/>
          <w:b/>
          <w:bCs/>
          <w:sz w:val="22"/>
          <w:szCs w:val="22"/>
        </w:rPr>
      </w:pPr>
      <w:r>
        <w:rPr>
          <w:rFonts w:ascii="Book Antiqua" w:eastAsiaTheme="minorHAnsi" w:hAnsi="Book Antiqua" w:cs="Arial Hebrew"/>
          <w:sz w:val="22"/>
          <w:szCs w:val="22"/>
        </w:rPr>
        <w:t>[</w:t>
      </w:r>
      <w:r>
        <w:rPr>
          <w:rFonts w:ascii="Book Antiqua" w:eastAsiaTheme="minorHAnsi" w:hAnsi="Book Antiqua" w:cs="Arial Hebrew"/>
          <w:b/>
          <w:bCs/>
          <w:sz w:val="22"/>
          <w:szCs w:val="22"/>
        </w:rPr>
        <w:t>(Sum of case counts for the most immediate 7 days) / 7)]  / (mid-year population) * 100,000</w:t>
      </w:r>
    </w:p>
    <w:p w14:paraId="5B86F303" w14:textId="77777777" w:rsidR="00245087" w:rsidRDefault="00245087">
      <w:pPr>
        <w:spacing w:after="160" w:line="259" w:lineRule="auto"/>
        <w:rPr>
          <w:rFonts w:ascii="Book Antiqua" w:hAnsi="Book Antiqua"/>
          <w:b/>
          <w:bCs/>
          <w:sz w:val="22"/>
          <w:szCs w:val="22"/>
        </w:rPr>
      </w:pPr>
      <w:r>
        <w:rPr>
          <w:rFonts w:ascii="Book Antiqua" w:hAnsi="Book Antiqua"/>
          <w:b/>
          <w:bCs/>
          <w:sz w:val="22"/>
          <w:szCs w:val="22"/>
        </w:rPr>
        <w:br w:type="page"/>
      </w:r>
    </w:p>
    <w:p w14:paraId="371760DA" w14:textId="016D5C9F" w:rsidR="007A4356" w:rsidRPr="0005286B" w:rsidRDefault="007A4356" w:rsidP="007A4356">
      <w:pPr>
        <w:spacing w:after="160" w:line="259" w:lineRule="auto"/>
        <w:jc w:val="center"/>
        <w:rPr>
          <w:rFonts w:ascii="Book Antiqua" w:hAnsi="Book Antiqua"/>
          <w:sz w:val="22"/>
          <w:szCs w:val="22"/>
        </w:rPr>
      </w:pPr>
      <w:r w:rsidRPr="00A651B4">
        <w:rPr>
          <w:rFonts w:ascii="Book Antiqua" w:hAnsi="Book Antiqua"/>
          <w:b/>
          <w:bCs/>
          <w:sz w:val="22"/>
          <w:szCs w:val="22"/>
        </w:rPr>
        <w:lastRenderedPageBreak/>
        <w:t xml:space="preserve">APPENDIX </w:t>
      </w:r>
      <w:r>
        <w:rPr>
          <w:rFonts w:ascii="Book Antiqua" w:hAnsi="Book Antiqua"/>
          <w:b/>
          <w:bCs/>
          <w:sz w:val="22"/>
          <w:szCs w:val="22"/>
        </w:rPr>
        <w:t>3</w:t>
      </w:r>
    </w:p>
    <w:p w14:paraId="16EB5DD8" w14:textId="77777777" w:rsidR="007A4356" w:rsidRDefault="007A4356" w:rsidP="007A4356">
      <w:pPr>
        <w:jc w:val="both"/>
        <w:rPr>
          <w:rFonts w:ascii="Book Antiqua" w:eastAsia="Calibri" w:hAnsi="Book Antiqua"/>
        </w:rPr>
      </w:pPr>
      <w:r w:rsidRPr="009A32EC">
        <w:rPr>
          <w:rFonts w:ascii="Book Antiqua" w:eastAsia="Calibri" w:hAnsi="Book Antiqua"/>
        </w:rPr>
        <w:t xml:space="preserve">About a third of all tests conducted since March in the district </w:t>
      </w:r>
      <w:r>
        <w:rPr>
          <w:rFonts w:ascii="Book Antiqua" w:eastAsia="Calibri" w:hAnsi="Book Antiqua"/>
        </w:rPr>
        <w:t>have been</w:t>
      </w:r>
      <w:r w:rsidRPr="009A32EC">
        <w:rPr>
          <w:rFonts w:ascii="Book Antiqua" w:eastAsia="Calibri" w:hAnsi="Book Antiqua"/>
        </w:rPr>
        <w:t xml:space="preserve"> availed by residents or staff of residential facilities. </w:t>
      </w:r>
      <w:r>
        <w:rPr>
          <w:rFonts w:ascii="Book Antiqua" w:eastAsia="Calibri" w:hAnsi="Book Antiqua"/>
        </w:rPr>
        <w:t>“Residential</w:t>
      </w:r>
      <w:r w:rsidRPr="009A32EC">
        <w:rPr>
          <w:rFonts w:ascii="Book Antiqua" w:eastAsia="Calibri" w:hAnsi="Book Antiqua"/>
        </w:rPr>
        <w:t xml:space="preserve"> </w:t>
      </w:r>
      <w:r>
        <w:rPr>
          <w:rFonts w:ascii="Book Antiqua" w:eastAsia="Calibri" w:hAnsi="Book Antiqua"/>
        </w:rPr>
        <w:t xml:space="preserve">facilities” </w:t>
      </w:r>
      <w:r w:rsidRPr="009A32EC">
        <w:rPr>
          <w:rFonts w:ascii="Book Antiqua" w:eastAsia="Calibri" w:hAnsi="Book Antiqua"/>
        </w:rPr>
        <w:t xml:space="preserve">include long-term care facilities, in-patient psychiatry services, retirement villages, veterans’ homes and correctional facilities within </w:t>
      </w:r>
      <w:r>
        <w:rPr>
          <w:rFonts w:ascii="Book Antiqua" w:eastAsia="Calibri" w:hAnsi="Book Antiqua"/>
        </w:rPr>
        <w:t>Two Rivers Health D</w:t>
      </w:r>
      <w:r w:rsidRPr="009A32EC">
        <w:rPr>
          <w:rFonts w:ascii="Book Antiqua" w:eastAsia="Calibri" w:hAnsi="Book Antiqua"/>
        </w:rPr>
        <w:t xml:space="preserve">istrict. </w:t>
      </w:r>
    </w:p>
    <w:p w14:paraId="5E7BE85B" w14:textId="77777777" w:rsidR="007A4356" w:rsidRDefault="007A4356" w:rsidP="007A4356">
      <w:pPr>
        <w:jc w:val="both"/>
        <w:rPr>
          <w:rFonts w:ascii="Book Antiqua" w:eastAsia="Calibri" w:hAnsi="Book Antiqua"/>
        </w:rPr>
      </w:pPr>
    </w:p>
    <w:p w14:paraId="528DD070" w14:textId="77777777" w:rsidR="007A4356" w:rsidRPr="00053356" w:rsidRDefault="007A4356" w:rsidP="007A4356">
      <w:pPr>
        <w:jc w:val="both"/>
        <w:rPr>
          <w:rFonts w:ascii="Book Antiqua" w:eastAsia="Calibri" w:hAnsi="Book Antiqua"/>
        </w:rPr>
      </w:pPr>
      <w:r w:rsidRPr="00053356">
        <w:rPr>
          <w:rFonts w:ascii="Book Antiqua" w:eastAsia="Calibri" w:hAnsi="Book Antiqua"/>
        </w:rPr>
        <w:t xml:space="preserve">Considering the specific nature of COVID risk of long-term residents of institutional facilities and taking into account the frequent testing </w:t>
      </w:r>
      <w:r>
        <w:rPr>
          <w:rFonts w:ascii="Book Antiqua" w:eastAsia="Calibri" w:hAnsi="Book Antiqua"/>
        </w:rPr>
        <w:t>performed at facilities</w:t>
      </w:r>
      <w:r w:rsidRPr="00053356">
        <w:rPr>
          <w:rFonts w:ascii="Book Antiqua" w:eastAsia="Calibri" w:hAnsi="Book Antiqua"/>
        </w:rPr>
        <w:t xml:space="preserve">, we present </w:t>
      </w:r>
      <w:r>
        <w:rPr>
          <w:rFonts w:ascii="Book Antiqua" w:eastAsia="Calibri" w:hAnsi="Book Antiqua"/>
        </w:rPr>
        <w:t>numbers separately for long term care facilities and others in the district</w:t>
      </w:r>
      <w:r w:rsidRPr="00053356">
        <w:rPr>
          <w:rFonts w:ascii="Book Antiqua" w:eastAsia="Calibri" w:hAnsi="Book Antiqua"/>
        </w:rPr>
        <w:t>.</w:t>
      </w:r>
    </w:p>
    <w:p w14:paraId="52D86AF4" w14:textId="77777777" w:rsidR="00440991" w:rsidRPr="00440991" w:rsidRDefault="00440991" w:rsidP="007A4356">
      <w:pPr>
        <w:spacing w:after="160" w:line="259" w:lineRule="auto"/>
        <w:ind w:firstLine="720"/>
        <w:jc w:val="center"/>
        <w:rPr>
          <w:rFonts w:ascii="Book Antiqua" w:eastAsiaTheme="minorHAnsi" w:hAnsi="Book Antiqua" w:cs="Arial Hebrew"/>
          <w:sz w:val="22"/>
          <w:szCs w:val="22"/>
        </w:rPr>
      </w:pPr>
    </w:p>
    <w:sectPr w:rsidR="00440991" w:rsidRPr="00440991" w:rsidSect="00CA2B27">
      <w:headerReference w:type="even" r:id="rId19"/>
      <w:headerReference w:type="default" r:id="rId20"/>
      <w:footerReference w:type="even" r:id="rId21"/>
      <w:footerReference w:type="default" r:id="rId22"/>
      <w:headerReference w:type="first" r:id="rId23"/>
      <w:footerReference w:type="first" r:id="rId2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E7C6" w14:textId="77777777" w:rsidR="00B610A5" w:rsidRDefault="00B610A5" w:rsidP="009B48F5">
      <w:r>
        <w:separator/>
      </w:r>
    </w:p>
  </w:endnote>
  <w:endnote w:type="continuationSeparator" w:id="0">
    <w:p w14:paraId="201930CB" w14:textId="77777777" w:rsidR="00B610A5" w:rsidRDefault="00B610A5" w:rsidP="009B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Hebrew">
    <w:altName w:val="﷽﷽﷽﷽﷽﷽﷽﷽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Hebrew Scholar">
    <w:altName w:val="﷽﷽﷽﷽﷽﷽﷽﷽brew Scholar"/>
    <w:panose1 w:val="00000000000000000000"/>
    <w:charset w:val="B1"/>
    <w:family w:val="auto"/>
    <w:pitch w:val="variable"/>
    <w:sig w:usb0="80000843" w:usb1="40000002" w:usb2="00000000" w:usb3="00000000" w:csb0="00000021"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BF01" w14:textId="77777777" w:rsidR="00B66370" w:rsidRDefault="00B66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AB9D" w14:textId="11BDD048" w:rsidR="004505A9" w:rsidRDefault="00B66370" w:rsidP="00255EE0">
    <w:pPr>
      <w:pStyle w:val="Header"/>
    </w:pPr>
    <w:r>
      <w:t>516 W 11</w:t>
    </w:r>
    <w:r w:rsidRPr="00B66370">
      <w:rPr>
        <w:vertAlign w:val="superscript"/>
      </w:rPr>
      <w:t>th</w:t>
    </w:r>
    <w:r>
      <w:t xml:space="preserve"> Street</w:t>
    </w:r>
    <w:r w:rsidR="004505A9">
      <w:t>, Suite 1</w:t>
    </w:r>
    <w:r>
      <w:t>08</w:t>
    </w:r>
    <w:r w:rsidR="004505A9">
      <w:tab/>
    </w:r>
    <w:r w:rsidR="004505A9">
      <w:tab/>
    </w:r>
    <w:r>
      <w:t>888-669-7154</w:t>
    </w:r>
  </w:p>
  <w:p w14:paraId="1E305F22" w14:textId="09363BA7" w:rsidR="004505A9" w:rsidRDefault="00B66370" w:rsidP="001408EF">
    <w:pPr>
      <w:pStyle w:val="Header"/>
    </w:pPr>
    <w:r>
      <w:t>Kearney</w:t>
    </w:r>
    <w:r w:rsidR="004505A9">
      <w:t>, NE 68</w:t>
    </w:r>
    <w:r>
      <w:t>845</w:t>
    </w:r>
    <w:r w:rsidR="004505A9">
      <w:tab/>
    </w:r>
    <w:r w:rsidR="004505A9">
      <w:tab/>
    </w:r>
    <w:r>
      <w:t>trphd.org</w:t>
    </w:r>
  </w:p>
  <w:p w14:paraId="63F7CDAD" w14:textId="6FFB92B3" w:rsidR="004505A9" w:rsidRDefault="004505A9" w:rsidP="00B66370">
    <w:pPr>
      <w:pStyle w:val="Header"/>
    </w:pPr>
  </w:p>
  <w:p w14:paraId="349A508C" w14:textId="77777777" w:rsidR="004505A9" w:rsidRDefault="004505A9" w:rsidP="00E62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B8E7" w14:textId="77777777" w:rsidR="00B66370" w:rsidRDefault="00B66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A1BD9" w14:textId="77777777" w:rsidR="00B610A5" w:rsidRDefault="00B610A5" w:rsidP="009B48F5">
      <w:r>
        <w:separator/>
      </w:r>
    </w:p>
  </w:footnote>
  <w:footnote w:type="continuationSeparator" w:id="0">
    <w:p w14:paraId="7B7757CE" w14:textId="77777777" w:rsidR="00B610A5" w:rsidRDefault="00B610A5" w:rsidP="009B48F5">
      <w:r>
        <w:continuationSeparator/>
      </w:r>
    </w:p>
  </w:footnote>
  <w:footnote w:id="1">
    <w:p w14:paraId="24CB0F1B" w14:textId="27E6B590" w:rsidR="00006864" w:rsidRPr="00006864" w:rsidRDefault="00006864">
      <w:pPr>
        <w:pStyle w:val="FootnoteText"/>
        <w:rPr>
          <w:rFonts w:ascii="Cambria" w:hAnsi="Cambria"/>
        </w:rPr>
      </w:pPr>
      <w:r>
        <w:rPr>
          <w:rStyle w:val="FootnoteReference"/>
        </w:rPr>
        <w:footnoteRef/>
      </w:r>
      <w:r>
        <w:t xml:space="preserve"> </w:t>
      </w:r>
      <w:r w:rsidRPr="00006864">
        <w:rPr>
          <w:rFonts w:ascii="Arial Hebrew Scholar" w:hAnsi="Arial Hebrew Scholar" w:cs="Arial Hebrew Scholar" w:hint="cs"/>
        </w:rPr>
        <w:t>For</w:t>
      </w:r>
      <w:r>
        <w:rPr>
          <w:rFonts w:ascii="Arial Hebrew Scholar" w:hAnsi="Arial Hebrew Scholar" w:cs="Arial Hebrew Scholar"/>
        </w:rPr>
        <w:t xml:space="preserve"> </w:t>
      </w:r>
      <w:r>
        <w:rPr>
          <w:rFonts w:ascii="Cambria" w:hAnsi="Cambria" w:cs="Arial Hebrew Scholar"/>
        </w:rPr>
        <w:t>complete explanation of data sources, please see appendix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5272" w14:textId="77777777" w:rsidR="00B66370" w:rsidRDefault="00B66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5D68" w14:textId="77777777" w:rsidR="004505A9" w:rsidRDefault="004505A9" w:rsidP="001408EF">
    <w:pPr>
      <w:pStyle w:val="Header"/>
    </w:pPr>
    <w:r>
      <w:rPr>
        <w:noProof/>
      </w:rPr>
      <w:drawing>
        <wp:anchor distT="0" distB="0" distL="114300" distR="114300" simplePos="0" relativeHeight="251658240" behindDoc="0" locked="0" layoutInCell="1" allowOverlap="1" wp14:anchorId="031477AA" wp14:editId="433F6769">
          <wp:simplePos x="0" y="0"/>
          <wp:positionH relativeFrom="column">
            <wp:posOffset>1667510</wp:posOffset>
          </wp:positionH>
          <wp:positionV relativeFrom="paragraph">
            <wp:posOffset>-495300</wp:posOffset>
          </wp:positionV>
          <wp:extent cx="2383790" cy="1341120"/>
          <wp:effectExtent l="0" t="0" r="0" b="0"/>
          <wp:wrapThrough wrapText="bothSides">
            <wp:wrapPolygon edited="0">
              <wp:start x="0" y="0"/>
              <wp:lineTo x="0" y="21170"/>
              <wp:lineTo x="21404" y="21170"/>
              <wp:lineTo x="2140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final-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3790" cy="1341120"/>
                  </a:xfrm>
                  <a:prstGeom prst="rect">
                    <a:avLst/>
                  </a:prstGeom>
                </pic:spPr>
              </pic:pic>
            </a:graphicData>
          </a:graphic>
          <wp14:sizeRelH relativeFrom="margin">
            <wp14:pctWidth>0</wp14:pctWidth>
          </wp14:sizeRelH>
          <wp14:sizeRelV relativeFrom="margin">
            <wp14:pctHeight>0</wp14:pctHeight>
          </wp14:sizeRelV>
        </wp:anchor>
      </w:drawing>
    </w:r>
  </w:p>
  <w:p w14:paraId="37E90080" w14:textId="77777777" w:rsidR="004505A9" w:rsidRPr="006C130D" w:rsidRDefault="004505A9" w:rsidP="00E62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DE1D" w14:textId="77777777" w:rsidR="00B66370" w:rsidRDefault="00B66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0E0C"/>
    <w:multiLevelType w:val="hybridMultilevel"/>
    <w:tmpl w:val="D68E8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298A"/>
    <w:multiLevelType w:val="hybridMultilevel"/>
    <w:tmpl w:val="833E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65FA8"/>
    <w:multiLevelType w:val="hybridMultilevel"/>
    <w:tmpl w:val="E0CEE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2613A"/>
    <w:multiLevelType w:val="hybridMultilevel"/>
    <w:tmpl w:val="6298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B5B0D"/>
    <w:multiLevelType w:val="hybridMultilevel"/>
    <w:tmpl w:val="B58A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67C8B"/>
    <w:multiLevelType w:val="hybridMultilevel"/>
    <w:tmpl w:val="4CCC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6856"/>
    <w:multiLevelType w:val="hybridMultilevel"/>
    <w:tmpl w:val="F0D84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533FA"/>
    <w:multiLevelType w:val="hybridMultilevel"/>
    <w:tmpl w:val="659CA44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F725B"/>
    <w:multiLevelType w:val="hybridMultilevel"/>
    <w:tmpl w:val="D600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F55B8"/>
    <w:multiLevelType w:val="hybridMultilevel"/>
    <w:tmpl w:val="6A6A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246E3"/>
    <w:multiLevelType w:val="hybridMultilevel"/>
    <w:tmpl w:val="77A8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87205"/>
    <w:multiLevelType w:val="hybridMultilevel"/>
    <w:tmpl w:val="0DC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62A5B"/>
    <w:multiLevelType w:val="hybridMultilevel"/>
    <w:tmpl w:val="659CA44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C2769"/>
    <w:multiLevelType w:val="hybridMultilevel"/>
    <w:tmpl w:val="5C0E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527FC"/>
    <w:multiLevelType w:val="hybridMultilevel"/>
    <w:tmpl w:val="5610F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612050"/>
    <w:multiLevelType w:val="hybridMultilevel"/>
    <w:tmpl w:val="EADC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7761D"/>
    <w:multiLevelType w:val="hybridMultilevel"/>
    <w:tmpl w:val="09CC29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196D3A"/>
    <w:multiLevelType w:val="hybridMultilevel"/>
    <w:tmpl w:val="1E16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B07AA"/>
    <w:multiLevelType w:val="hybridMultilevel"/>
    <w:tmpl w:val="52BA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3793F"/>
    <w:multiLevelType w:val="hybridMultilevel"/>
    <w:tmpl w:val="5E26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F6692"/>
    <w:multiLevelType w:val="hybridMultilevel"/>
    <w:tmpl w:val="8F28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F09D1"/>
    <w:multiLevelType w:val="hybridMultilevel"/>
    <w:tmpl w:val="B5DC3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72624C"/>
    <w:multiLevelType w:val="hybridMultilevel"/>
    <w:tmpl w:val="8ACE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E5A34"/>
    <w:multiLevelType w:val="hybridMultilevel"/>
    <w:tmpl w:val="9380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2405F"/>
    <w:multiLevelType w:val="hybridMultilevel"/>
    <w:tmpl w:val="8610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E37E6"/>
    <w:multiLevelType w:val="multilevel"/>
    <w:tmpl w:val="3D622A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F15DE3"/>
    <w:multiLevelType w:val="hybridMultilevel"/>
    <w:tmpl w:val="5EA2E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304D2"/>
    <w:multiLevelType w:val="hybridMultilevel"/>
    <w:tmpl w:val="71A8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6"/>
  </w:num>
  <w:num w:numId="4">
    <w:abstractNumId w:val="10"/>
  </w:num>
  <w:num w:numId="5">
    <w:abstractNumId w:val="24"/>
  </w:num>
  <w:num w:numId="6">
    <w:abstractNumId w:val="6"/>
  </w:num>
  <w:num w:numId="7">
    <w:abstractNumId w:val="2"/>
  </w:num>
  <w:num w:numId="8">
    <w:abstractNumId w:val="8"/>
  </w:num>
  <w:num w:numId="9">
    <w:abstractNumId w:val="14"/>
  </w:num>
  <w:num w:numId="10">
    <w:abstractNumId w:val="1"/>
  </w:num>
  <w:num w:numId="11">
    <w:abstractNumId w:val="19"/>
  </w:num>
  <w:num w:numId="12">
    <w:abstractNumId w:val="17"/>
  </w:num>
  <w:num w:numId="13">
    <w:abstractNumId w:val="12"/>
  </w:num>
  <w:num w:numId="14">
    <w:abstractNumId w:val="26"/>
  </w:num>
  <w:num w:numId="15">
    <w:abstractNumId w:val="7"/>
  </w:num>
  <w:num w:numId="16">
    <w:abstractNumId w:val="13"/>
  </w:num>
  <w:num w:numId="17">
    <w:abstractNumId w:val="4"/>
  </w:num>
  <w:num w:numId="18">
    <w:abstractNumId w:val="5"/>
  </w:num>
  <w:num w:numId="19">
    <w:abstractNumId w:val="22"/>
  </w:num>
  <w:num w:numId="20">
    <w:abstractNumId w:val="23"/>
  </w:num>
  <w:num w:numId="21">
    <w:abstractNumId w:val="3"/>
  </w:num>
  <w:num w:numId="22">
    <w:abstractNumId w:val="27"/>
  </w:num>
  <w:num w:numId="23">
    <w:abstractNumId w:val="20"/>
  </w:num>
  <w:num w:numId="24">
    <w:abstractNumId w:val="25"/>
  </w:num>
  <w:num w:numId="25">
    <w:abstractNumId w:val="21"/>
  </w:num>
  <w:num w:numId="26">
    <w:abstractNumId w:val="9"/>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F5"/>
    <w:rsid w:val="0000070D"/>
    <w:rsid w:val="00005AAC"/>
    <w:rsid w:val="000063E3"/>
    <w:rsid w:val="000066A8"/>
    <w:rsid w:val="00006864"/>
    <w:rsid w:val="00011076"/>
    <w:rsid w:val="000144D9"/>
    <w:rsid w:val="00017D34"/>
    <w:rsid w:val="00031079"/>
    <w:rsid w:val="00033640"/>
    <w:rsid w:val="0003495E"/>
    <w:rsid w:val="00034C4E"/>
    <w:rsid w:val="00035E35"/>
    <w:rsid w:val="0004026F"/>
    <w:rsid w:val="00041D72"/>
    <w:rsid w:val="00044395"/>
    <w:rsid w:val="00050DAF"/>
    <w:rsid w:val="00055239"/>
    <w:rsid w:val="000636DB"/>
    <w:rsid w:val="000726F4"/>
    <w:rsid w:val="0007290F"/>
    <w:rsid w:val="00076F5A"/>
    <w:rsid w:val="000811B9"/>
    <w:rsid w:val="00082999"/>
    <w:rsid w:val="00082BE6"/>
    <w:rsid w:val="000853CF"/>
    <w:rsid w:val="00085447"/>
    <w:rsid w:val="0009375F"/>
    <w:rsid w:val="00094136"/>
    <w:rsid w:val="00096D4E"/>
    <w:rsid w:val="000A22D9"/>
    <w:rsid w:val="000A2F63"/>
    <w:rsid w:val="000B1E88"/>
    <w:rsid w:val="000B2132"/>
    <w:rsid w:val="000B26AD"/>
    <w:rsid w:val="000B3070"/>
    <w:rsid w:val="000B7399"/>
    <w:rsid w:val="000C1D39"/>
    <w:rsid w:val="000C407E"/>
    <w:rsid w:val="000C6D87"/>
    <w:rsid w:val="000C7DFF"/>
    <w:rsid w:val="000E3A0A"/>
    <w:rsid w:val="000E636E"/>
    <w:rsid w:val="000E67A9"/>
    <w:rsid w:val="000E724F"/>
    <w:rsid w:val="000F1011"/>
    <w:rsid w:val="000F323F"/>
    <w:rsid w:val="000F4E04"/>
    <w:rsid w:val="00101B1A"/>
    <w:rsid w:val="00101B64"/>
    <w:rsid w:val="00105C57"/>
    <w:rsid w:val="00117023"/>
    <w:rsid w:val="001178CB"/>
    <w:rsid w:val="001255D1"/>
    <w:rsid w:val="0013071D"/>
    <w:rsid w:val="001356AB"/>
    <w:rsid w:val="001406D4"/>
    <w:rsid w:val="001408EF"/>
    <w:rsid w:val="00143B2B"/>
    <w:rsid w:val="00146906"/>
    <w:rsid w:val="001521E6"/>
    <w:rsid w:val="00155A9E"/>
    <w:rsid w:val="00157010"/>
    <w:rsid w:val="001601B9"/>
    <w:rsid w:val="00167ABE"/>
    <w:rsid w:val="00170785"/>
    <w:rsid w:val="00173C87"/>
    <w:rsid w:val="001762AE"/>
    <w:rsid w:val="00176518"/>
    <w:rsid w:val="00185190"/>
    <w:rsid w:val="00185BD1"/>
    <w:rsid w:val="00187CEA"/>
    <w:rsid w:val="0019182D"/>
    <w:rsid w:val="00192C26"/>
    <w:rsid w:val="00194288"/>
    <w:rsid w:val="001B08C1"/>
    <w:rsid w:val="001B26BF"/>
    <w:rsid w:val="001B39A8"/>
    <w:rsid w:val="001C1611"/>
    <w:rsid w:val="001C6847"/>
    <w:rsid w:val="001D3545"/>
    <w:rsid w:val="001F18C3"/>
    <w:rsid w:val="001F1BC7"/>
    <w:rsid w:val="001F430B"/>
    <w:rsid w:val="001F561C"/>
    <w:rsid w:val="00201A94"/>
    <w:rsid w:val="0020543A"/>
    <w:rsid w:val="00211F69"/>
    <w:rsid w:val="0021680A"/>
    <w:rsid w:val="00223E58"/>
    <w:rsid w:val="002344F0"/>
    <w:rsid w:val="00242199"/>
    <w:rsid w:val="00243E0F"/>
    <w:rsid w:val="00245087"/>
    <w:rsid w:val="00255EE0"/>
    <w:rsid w:val="002607B5"/>
    <w:rsid w:val="00263B6D"/>
    <w:rsid w:val="0026585A"/>
    <w:rsid w:val="00270C56"/>
    <w:rsid w:val="0027528F"/>
    <w:rsid w:val="002753EF"/>
    <w:rsid w:val="00280D01"/>
    <w:rsid w:val="00281774"/>
    <w:rsid w:val="00284D13"/>
    <w:rsid w:val="00284D89"/>
    <w:rsid w:val="0029181D"/>
    <w:rsid w:val="00292B58"/>
    <w:rsid w:val="002B42C3"/>
    <w:rsid w:val="002B6443"/>
    <w:rsid w:val="002B7A27"/>
    <w:rsid w:val="002C1236"/>
    <w:rsid w:val="002D0D4C"/>
    <w:rsid w:val="002D6BA1"/>
    <w:rsid w:val="002E0D1D"/>
    <w:rsid w:val="002E14E1"/>
    <w:rsid w:val="002E535E"/>
    <w:rsid w:val="002E5A49"/>
    <w:rsid w:val="002F0E92"/>
    <w:rsid w:val="002F6DDE"/>
    <w:rsid w:val="003031F4"/>
    <w:rsid w:val="0030732D"/>
    <w:rsid w:val="003079B1"/>
    <w:rsid w:val="00311081"/>
    <w:rsid w:val="003135D4"/>
    <w:rsid w:val="00313791"/>
    <w:rsid w:val="0031602C"/>
    <w:rsid w:val="0031770B"/>
    <w:rsid w:val="003205C2"/>
    <w:rsid w:val="0032570C"/>
    <w:rsid w:val="00331BC1"/>
    <w:rsid w:val="0034187D"/>
    <w:rsid w:val="00343581"/>
    <w:rsid w:val="00355E57"/>
    <w:rsid w:val="003661D8"/>
    <w:rsid w:val="003668B6"/>
    <w:rsid w:val="0037475A"/>
    <w:rsid w:val="00377B03"/>
    <w:rsid w:val="003824C8"/>
    <w:rsid w:val="00384A28"/>
    <w:rsid w:val="00390189"/>
    <w:rsid w:val="00397C5F"/>
    <w:rsid w:val="003A151C"/>
    <w:rsid w:val="003A68B8"/>
    <w:rsid w:val="003B3FE8"/>
    <w:rsid w:val="003C0E31"/>
    <w:rsid w:val="003C5DE3"/>
    <w:rsid w:val="003D4FDE"/>
    <w:rsid w:val="003D7A63"/>
    <w:rsid w:val="003E0458"/>
    <w:rsid w:val="003E39BB"/>
    <w:rsid w:val="003E52F9"/>
    <w:rsid w:val="003E54EE"/>
    <w:rsid w:val="003F26E4"/>
    <w:rsid w:val="003F36F8"/>
    <w:rsid w:val="003F4BE6"/>
    <w:rsid w:val="0040758D"/>
    <w:rsid w:val="00412473"/>
    <w:rsid w:val="0041400D"/>
    <w:rsid w:val="00414642"/>
    <w:rsid w:val="004149F0"/>
    <w:rsid w:val="00414CE1"/>
    <w:rsid w:val="00415E16"/>
    <w:rsid w:val="00416676"/>
    <w:rsid w:val="00416B76"/>
    <w:rsid w:val="004175AE"/>
    <w:rsid w:val="00426F52"/>
    <w:rsid w:val="00433AC3"/>
    <w:rsid w:val="004360A4"/>
    <w:rsid w:val="00440991"/>
    <w:rsid w:val="00440C4B"/>
    <w:rsid w:val="0044466E"/>
    <w:rsid w:val="0044492B"/>
    <w:rsid w:val="00447601"/>
    <w:rsid w:val="004504E8"/>
    <w:rsid w:val="004505A9"/>
    <w:rsid w:val="00460829"/>
    <w:rsid w:val="004656EE"/>
    <w:rsid w:val="00466D58"/>
    <w:rsid w:val="00467284"/>
    <w:rsid w:val="0047619D"/>
    <w:rsid w:val="00477900"/>
    <w:rsid w:val="00494D89"/>
    <w:rsid w:val="00497F59"/>
    <w:rsid w:val="004A0D4F"/>
    <w:rsid w:val="004B025E"/>
    <w:rsid w:val="004B3D9C"/>
    <w:rsid w:val="004B679B"/>
    <w:rsid w:val="004B754E"/>
    <w:rsid w:val="004C0489"/>
    <w:rsid w:val="004D6D3A"/>
    <w:rsid w:val="004E22CC"/>
    <w:rsid w:val="004E350E"/>
    <w:rsid w:val="004E4F1D"/>
    <w:rsid w:val="004E52E0"/>
    <w:rsid w:val="004E6C33"/>
    <w:rsid w:val="004E6EAC"/>
    <w:rsid w:val="004F46FA"/>
    <w:rsid w:val="004F6D3F"/>
    <w:rsid w:val="004F70FD"/>
    <w:rsid w:val="00500C24"/>
    <w:rsid w:val="00514684"/>
    <w:rsid w:val="00515A20"/>
    <w:rsid w:val="0051673B"/>
    <w:rsid w:val="00523F0C"/>
    <w:rsid w:val="00531443"/>
    <w:rsid w:val="005354A8"/>
    <w:rsid w:val="00551B5C"/>
    <w:rsid w:val="005643B3"/>
    <w:rsid w:val="0056731F"/>
    <w:rsid w:val="00574CA9"/>
    <w:rsid w:val="00574CC7"/>
    <w:rsid w:val="00577C27"/>
    <w:rsid w:val="005802AD"/>
    <w:rsid w:val="00580732"/>
    <w:rsid w:val="005916DC"/>
    <w:rsid w:val="00591D9B"/>
    <w:rsid w:val="00597729"/>
    <w:rsid w:val="005A7470"/>
    <w:rsid w:val="005A7E69"/>
    <w:rsid w:val="005B353C"/>
    <w:rsid w:val="005B3E49"/>
    <w:rsid w:val="005B5C8F"/>
    <w:rsid w:val="005C4E44"/>
    <w:rsid w:val="005D19C4"/>
    <w:rsid w:val="005E420C"/>
    <w:rsid w:val="005F10F3"/>
    <w:rsid w:val="005F7400"/>
    <w:rsid w:val="00602858"/>
    <w:rsid w:val="006253F6"/>
    <w:rsid w:val="00630680"/>
    <w:rsid w:val="00645963"/>
    <w:rsid w:val="00646EBF"/>
    <w:rsid w:val="00647FA7"/>
    <w:rsid w:val="00663AD9"/>
    <w:rsid w:val="0066604D"/>
    <w:rsid w:val="00671640"/>
    <w:rsid w:val="006723D1"/>
    <w:rsid w:val="006754DD"/>
    <w:rsid w:val="00676A91"/>
    <w:rsid w:val="0068179D"/>
    <w:rsid w:val="0068380E"/>
    <w:rsid w:val="00686329"/>
    <w:rsid w:val="006A248C"/>
    <w:rsid w:val="006A26E7"/>
    <w:rsid w:val="006A4E13"/>
    <w:rsid w:val="006B1E6F"/>
    <w:rsid w:val="006B2E68"/>
    <w:rsid w:val="006B6283"/>
    <w:rsid w:val="006C130D"/>
    <w:rsid w:val="006D7C0D"/>
    <w:rsid w:val="006E6B09"/>
    <w:rsid w:val="006F1949"/>
    <w:rsid w:val="006F244E"/>
    <w:rsid w:val="006F337F"/>
    <w:rsid w:val="00706990"/>
    <w:rsid w:val="00712E0E"/>
    <w:rsid w:val="007156B4"/>
    <w:rsid w:val="00716B20"/>
    <w:rsid w:val="0072714D"/>
    <w:rsid w:val="00730075"/>
    <w:rsid w:val="00737825"/>
    <w:rsid w:val="00740A4F"/>
    <w:rsid w:val="007417AE"/>
    <w:rsid w:val="0074289B"/>
    <w:rsid w:val="00751B87"/>
    <w:rsid w:val="00760944"/>
    <w:rsid w:val="00762838"/>
    <w:rsid w:val="00762EBF"/>
    <w:rsid w:val="00765F16"/>
    <w:rsid w:val="00771AF6"/>
    <w:rsid w:val="00772E2B"/>
    <w:rsid w:val="00773C3B"/>
    <w:rsid w:val="007773BE"/>
    <w:rsid w:val="00783DF8"/>
    <w:rsid w:val="007A4356"/>
    <w:rsid w:val="007A52C1"/>
    <w:rsid w:val="007B01B2"/>
    <w:rsid w:val="007B1B6C"/>
    <w:rsid w:val="007B274A"/>
    <w:rsid w:val="007B309A"/>
    <w:rsid w:val="007B6657"/>
    <w:rsid w:val="007C1127"/>
    <w:rsid w:val="007C4CB3"/>
    <w:rsid w:val="007E079D"/>
    <w:rsid w:val="007F0A31"/>
    <w:rsid w:val="007F0E15"/>
    <w:rsid w:val="007F1377"/>
    <w:rsid w:val="007F3DEE"/>
    <w:rsid w:val="007F5C1B"/>
    <w:rsid w:val="007F788B"/>
    <w:rsid w:val="00803393"/>
    <w:rsid w:val="008046DC"/>
    <w:rsid w:val="00805021"/>
    <w:rsid w:val="008155B1"/>
    <w:rsid w:val="00815743"/>
    <w:rsid w:val="008220A4"/>
    <w:rsid w:val="00823061"/>
    <w:rsid w:val="008331CB"/>
    <w:rsid w:val="008351E7"/>
    <w:rsid w:val="00837ECF"/>
    <w:rsid w:val="0084379C"/>
    <w:rsid w:val="00847D6B"/>
    <w:rsid w:val="008617A6"/>
    <w:rsid w:val="00864419"/>
    <w:rsid w:val="008713C9"/>
    <w:rsid w:val="0087600B"/>
    <w:rsid w:val="008843E4"/>
    <w:rsid w:val="008A17A6"/>
    <w:rsid w:val="008B76CA"/>
    <w:rsid w:val="008B7D7D"/>
    <w:rsid w:val="008C0066"/>
    <w:rsid w:val="008C02B7"/>
    <w:rsid w:val="008C3387"/>
    <w:rsid w:val="008C686F"/>
    <w:rsid w:val="008D1E3A"/>
    <w:rsid w:val="008D2D27"/>
    <w:rsid w:val="008D7132"/>
    <w:rsid w:val="008E359C"/>
    <w:rsid w:val="008E486D"/>
    <w:rsid w:val="008F25C9"/>
    <w:rsid w:val="008F5685"/>
    <w:rsid w:val="008F79BF"/>
    <w:rsid w:val="00901546"/>
    <w:rsid w:val="00901C5F"/>
    <w:rsid w:val="009020B6"/>
    <w:rsid w:val="00906363"/>
    <w:rsid w:val="00910B12"/>
    <w:rsid w:val="00912808"/>
    <w:rsid w:val="009312E0"/>
    <w:rsid w:val="00933FB9"/>
    <w:rsid w:val="009425B9"/>
    <w:rsid w:val="0094281F"/>
    <w:rsid w:val="0094508D"/>
    <w:rsid w:val="00947875"/>
    <w:rsid w:val="00951A32"/>
    <w:rsid w:val="0095349F"/>
    <w:rsid w:val="00962A75"/>
    <w:rsid w:val="00971FB0"/>
    <w:rsid w:val="00976F78"/>
    <w:rsid w:val="009842A8"/>
    <w:rsid w:val="009912D5"/>
    <w:rsid w:val="00991EC1"/>
    <w:rsid w:val="00994305"/>
    <w:rsid w:val="00995729"/>
    <w:rsid w:val="00997CFB"/>
    <w:rsid w:val="009B1BA8"/>
    <w:rsid w:val="009B252C"/>
    <w:rsid w:val="009B31A2"/>
    <w:rsid w:val="009B3430"/>
    <w:rsid w:val="009B48F5"/>
    <w:rsid w:val="009C223A"/>
    <w:rsid w:val="009D4978"/>
    <w:rsid w:val="009D5084"/>
    <w:rsid w:val="009E1C54"/>
    <w:rsid w:val="009E291A"/>
    <w:rsid w:val="009E4389"/>
    <w:rsid w:val="009E7FF9"/>
    <w:rsid w:val="009F72CA"/>
    <w:rsid w:val="009F7D24"/>
    <w:rsid w:val="00A03933"/>
    <w:rsid w:val="00A05752"/>
    <w:rsid w:val="00A05F19"/>
    <w:rsid w:val="00A07FEB"/>
    <w:rsid w:val="00A101C9"/>
    <w:rsid w:val="00A1102A"/>
    <w:rsid w:val="00A12770"/>
    <w:rsid w:val="00A160BE"/>
    <w:rsid w:val="00A17952"/>
    <w:rsid w:val="00A17F16"/>
    <w:rsid w:val="00A3045A"/>
    <w:rsid w:val="00A30C3F"/>
    <w:rsid w:val="00A31A0E"/>
    <w:rsid w:val="00A31F68"/>
    <w:rsid w:val="00A338CB"/>
    <w:rsid w:val="00A35984"/>
    <w:rsid w:val="00A5173E"/>
    <w:rsid w:val="00A56402"/>
    <w:rsid w:val="00A57986"/>
    <w:rsid w:val="00A62E40"/>
    <w:rsid w:val="00A65A40"/>
    <w:rsid w:val="00A754DC"/>
    <w:rsid w:val="00A80254"/>
    <w:rsid w:val="00A80CBC"/>
    <w:rsid w:val="00A82339"/>
    <w:rsid w:val="00A879DE"/>
    <w:rsid w:val="00AA702E"/>
    <w:rsid w:val="00AA7252"/>
    <w:rsid w:val="00AB6AAD"/>
    <w:rsid w:val="00AB6DB9"/>
    <w:rsid w:val="00AB7FBA"/>
    <w:rsid w:val="00AB7FD7"/>
    <w:rsid w:val="00AC1A24"/>
    <w:rsid w:val="00AC54DB"/>
    <w:rsid w:val="00AD3081"/>
    <w:rsid w:val="00AD4243"/>
    <w:rsid w:val="00AD5E62"/>
    <w:rsid w:val="00AD5FC1"/>
    <w:rsid w:val="00AE1E0E"/>
    <w:rsid w:val="00AE3C1B"/>
    <w:rsid w:val="00AE636D"/>
    <w:rsid w:val="00AF21E0"/>
    <w:rsid w:val="00AF42A0"/>
    <w:rsid w:val="00AF5029"/>
    <w:rsid w:val="00B037A4"/>
    <w:rsid w:val="00B04C08"/>
    <w:rsid w:val="00B13214"/>
    <w:rsid w:val="00B13DC0"/>
    <w:rsid w:val="00B21A56"/>
    <w:rsid w:val="00B23E95"/>
    <w:rsid w:val="00B24AAC"/>
    <w:rsid w:val="00B24F84"/>
    <w:rsid w:val="00B35CDA"/>
    <w:rsid w:val="00B447CD"/>
    <w:rsid w:val="00B60B43"/>
    <w:rsid w:val="00B610A5"/>
    <w:rsid w:val="00B6251E"/>
    <w:rsid w:val="00B66370"/>
    <w:rsid w:val="00B85815"/>
    <w:rsid w:val="00B87489"/>
    <w:rsid w:val="00B92A17"/>
    <w:rsid w:val="00BA1C21"/>
    <w:rsid w:val="00BA4242"/>
    <w:rsid w:val="00BC06CB"/>
    <w:rsid w:val="00BC719E"/>
    <w:rsid w:val="00C06596"/>
    <w:rsid w:val="00C10091"/>
    <w:rsid w:val="00C10E6B"/>
    <w:rsid w:val="00C12CCC"/>
    <w:rsid w:val="00C13015"/>
    <w:rsid w:val="00C210B8"/>
    <w:rsid w:val="00C276D9"/>
    <w:rsid w:val="00C316FA"/>
    <w:rsid w:val="00C407EB"/>
    <w:rsid w:val="00C42913"/>
    <w:rsid w:val="00C435FC"/>
    <w:rsid w:val="00C43D3F"/>
    <w:rsid w:val="00C43F92"/>
    <w:rsid w:val="00C64D0A"/>
    <w:rsid w:val="00C701BC"/>
    <w:rsid w:val="00C72A67"/>
    <w:rsid w:val="00C754CB"/>
    <w:rsid w:val="00C76B9B"/>
    <w:rsid w:val="00C901F2"/>
    <w:rsid w:val="00C90BA1"/>
    <w:rsid w:val="00C9306D"/>
    <w:rsid w:val="00CA2B27"/>
    <w:rsid w:val="00CA7C1B"/>
    <w:rsid w:val="00CB0455"/>
    <w:rsid w:val="00CB07BF"/>
    <w:rsid w:val="00CB1027"/>
    <w:rsid w:val="00CC0298"/>
    <w:rsid w:val="00CC6073"/>
    <w:rsid w:val="00CC7BD1"/>
    <w:rsid w:val="00CD0AE9"/>
    <w:rsid w:val="00CD676C"/>
    <w:rsid w:val="00CD77F4"/>
    <w:rsid w:val="00CE389B"/>
    <w:rsid w:val="00CE5EEC"/>
    <w:rsid w:val="00CF052D"/>
    <w:rsid w:val="00CF2A14"/>
    <w:rsid w:val="00CF63B1"/>
    <w:rsid w:val="00D27389"/>
    <w:rsid w:val="00D27EF1"/>
    <w:rsid w:val="00D41E90"/>
    <w:rsid w:val="00D42019"/>
    <w:rsid w:val="00D44215"/>
    <w:rsid w:val="00D5288D"/>
    <w:rsid w:val="00D723F1"/>
    <w:rsid w:val="00D761C5"/>
    <w:rsid w:val="00D8110B"/>
    <w:rsid w:val="00D822C1"/>
    <w:rsid w:val="00D85A63"/>
    <w:rsid w:val="00DA37EC"/>
    <w:rsid w:val="00DB1C0F"/>
    <w:rsid w:val="00DB4375"/>
    <w:rsid w:val="00DC07F8"/>
    <w:rsid w:val="00DC3940"/>
    <w:rsid w:val="00DC5896"/>
    <w:rsid w:val="00DC680C"/>
    <w:rsid w:val="00DD1045"/>
    <w:rsid w:val="00DD2B24"/>
    <w:rsid w:val="00DD5189"/>
    <w:rsid w:val="00DD6043"/>
    <w:rsid w:val="00DD6C7D"/>
    <w:rsid w:val="00DE2B2D"/>
    <w:rsid w:val="00DE31AA"/>
    <w:rsid w:val="00DE623A"/>
    <w:rsid w:val="00DF186E"/>
    <w:rsid w:val="00DF46D6"/>
    <w:rsid w:val="00E06763"/>
    <w:rsid w:val="00E06A4A"/>
    <w:rsid w:val="00E1010D"/>
    <w:rsid w:val="00E5188B"/>
    <w:rsid w:val="00E55598"/>
    <w:rsid w:val="00E62015"/>
    <w:rsid w:val="00E644C6"/>
    <w:rsid w:val="00E7018C"/>
    <w:rsid w:val="00E7030E"/>
    <w:rsid w:val="00E70F7C"/>
    <w:rsid w:val="00E712EE"/>
    <w:rsid w:val="00E83B23"/>
    <w:rsid w:val="00E8526D"/>
    <w:rsid w:val="00E87483"/>
    <w:rsid w:val="00E93EFA"/>
    <w:rsid w:val="00E9640A"/>
    <w:rsid w:val="00E96B97"/>
    <w:rsid w:val="00E96C6C"/>
    <w:rsid w:val="00E96F90"/>
    <w:rsid w:val="00EA0032"/>
    <w:rsid w:val="00EA3EDC"/>
    <w:rsid w:val="00EB14E0"/>
    <w:rsid w:val="00EB4583"/>
    <w:rsid w:val="00EC11E6"/>
    <w:rsid w:val="00EC2069"/>
    <w:rsid w:val="00EC679E"/>
    <w:rsid w:val="00ED1D7F"/>
    <w:rsid w:val="00ED370E"/>
    <w:rsid w:val="00ED5D91"/>
    <w:rsid w:val="00ED710D"/>
    <w:rsid w:val="00EE4E66"/>
    <w:rsid w:val="00EE679D"/>
    <w:rsid w:val="00EF4BB3"/>
    <w:rsid w:val="00EF5119"/>
    <w:rsid w:val="00EF7717"/>
    <w:rsid w:val="00F04A21"/>
    <w:rsid w:val="00F04BE7"/>
    <w:rsid w:val="00F173D7"/>
    <w:rsid w:val="00F17B47"/>
    <w:rsid w:val="00F24CC1"/>
    <w:rsid w:val="00F32404"/>
    <w:rsid w:val="00F34ACC"/>
    <w:rsid w:val="00F40412"/>
    <w:rsid w:val="00F408D1"/>
    <w:rsid w:val="00F4220A"/>
    <w:rsid w:val="00F4280D"/>
    <w:rsid w:val="00F45677"/>
    <w:rsid w:val="00F46A59"/>
    <w:rsid w:val="00F46C29"/>
    <w:rsid w:val="00F5083D"/>
    <w:rsid w:val="00F5130F"/>
    <w:rsid w:val="00F54D27"/>
    <w:rsid w:val="00F5750B"/>
    <w:rsid w:val="00F63EAC"/>
    <w:rsid w:val="00F6742B"/>
    <w:rsid w:val="00F75348"/>
    <w:rsid w:val="00F75DB8"/>
    <w:rsid w:val="00F75F8D"/>
    <w:rsid w:val="00F77110"/>
    <w:rsid w:val="00F820EB"/>
    <w:rsid w:val="00F83AB6"/>
    <w:rsid w:val="00F85BA2"/>
    <w:rsid w:val="00FA5666"/>
    <w:rsid w:val="00FA7C6E"/>
    <w:rsid w:val="00FB1569"/>
    <w:rsid w:val="00FB4DAE"/>
    <w:rsid w:val="00FB522E"/>
    <w:rsid w:val="00FC4A16"/>
    <w:rsid w:val="00FC6681"/>
    <w:rsid w:val="00FD12EA"/>
    <w:rsid w:val="00FE0989"/>
    <w:rsid w:val="00FE3756"/>
    <w:rsid w:val="00FE44FD"/>
    <w:rsid w:val="00FE7F5B"/>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F3A31"/>
  <w15:chartTrackingRefBased/>
  <w15:docId w15:val="{1D090613-C18A-4511-BB91-4AFAA857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8F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B48F5"/>
  </w:style>
  <w:style w:type="paragraph" w:styleId="Footer">
    <w:name w:val="footer"/>
    <w:basedOn w:val="Normal"/>
    <w:link w:val="FooterChar"/>
    <w:uiPriority w:val="99"/>
    <w:unhideWhenUsed/>
    <w:rsid w:val="009B48F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B48F5"/>
  </w:style>
  <w:style w:type="paragraph" w:styleId="BalloonText">
    <w:name w:val="Balloon Text"/>
    <w:basedOn w:val="Normal"/>
    <w:link w:val="BalloonTextChar"/>
    <w:uiPriority w:val="99"/>
    <w:semiHidden/>
    <w:unhideWhenUsed/>
    <w:rsid w:val="00AF21E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F21E0"/>
    <w:rPr>
      <w:rFonts w:ascii="Segoe UI" w:hAnsi="Segoe UI" w:cs="Segoe UI"/>
      <w:sz w:val="18"/>
      <w:szCs w:val="18"/>
    </w:rPr>
  </w:style>
  <w:style w:type="paragraph" w:styleId="ListParagraph">
    <w:name w:val="List Paragraph"/>
    <w:basedOn w:val="Normal"/>
    <w:uiPriority w:val="34"/>
    <w:qFormat/>
    <w:rsid w:val="007156B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4F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6864"/>
    <w:rPr>
      <w:sz w:val="20"/>
      <w:szCs w:val="20"/>
    </w:rPr>
  </w:style>
  <w:style w:type="character" w:customStyle="1" w:styleId="FootnoteTextChar">
    <w:name w:val="Footnote Text Char"/>
    <w:basedOn w:val="DefaultParagraphFont"/>
    <w:link w:val="FootnoteText"/>
    <w:uiPriority w:val="99"/>
    <w:semiHidden/>
    <w:rsid w:val="000068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6864"/>
    <w:rPr>
      <w:vertAlign w:val="superscript"/>
    </w:rPr>
  </w:style>
  <w:style w:type="character" w:styleId="Hyperlink">
    <w:name w:val="Hyperlink"/>
    <w:basedOn w:val="DefaultParagraphFont"/>
    <w:uiPriority w:val="99"/>
    <w:unhideWhenUsed/>
    <w:rsid w:val="00F408D1"/>
    <w:rPr>
      <w:color w:val="0563C1" w:themeColor="hyperlink"/>
      <w:u w:val="single"/>
    </w:rPr>
  </w:style>
  <w:style w:type="character" w:styleId="UnresolvedMention">
    <w:name w:val="Unresolved Mention"/>
    <w:basedOn w:val="DefaultParagraphFont"/>
    <w:uiPriority w:val="99"/>
    <w:semiHidden/>
    <w:unhideWhenUsed/>
    <w:rsid w:val="0044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4756">
      <w:bodyDiv w:val="1"/>
      <w:marLeft w:val="0"/>
      <w:marRight w:val="0"/>
      <w:marTop w:val="0"/>
      <w:marBottom w:val="0"/>
      <w:divBdr>
        <w:top w:val="none" w:sz="0" w:space="0" w:color="auto"/>
        <w:left w:val="none" w:sz="0" w:space="0" w:color="auto"/>
        <w:bottom w:val="none" w:sz="0" w:space="0" w:color="auto"/>
        <w:right w:val="none" w:sz="0" w:space="0" w:color="auto"/>
      </w:divBdr>
      <w:divsChild>
        <w:div w:id="1055740030">
          <w:marLeft w:val="0"/>
          <w:marRight w:val="0"/>
          <w:marTop w:val="0"/>
          <w:marBottom w:val="0"/>
          <w:divBdr>
            <w:top w:val="none" w:sz="0" w:space="0" w:color="auto"/>
            <w:left w:val="none" w:sz="0" w:space="0" w:color="auto"/>
            <w:bottom w:val="none" w:sz="0" w:space="0" w:color="auto"/>
            <w:right w:val="none" w:sz="0" w:space="0" w:color="auto"/>
          </w:divBdr>
        </w:div>
      </w:divsChild>
    </w:div>
    <w:div w:id="957033148">
      <w:bodyDiv w:val="1"/>
      <w:marLeft w:val="0"/>
      <w:marRight w:val="0"/>
      <w:marTop w:val="0"/>
      <w:marBottom w:val="0"/>
      <w:divBdr>
        <w:top w:val="none" w:sz="0" w:space="0" w:color="auto"/>
        <w:left w:val="none" w:sz="0" w:space="0" w:color="auto"/>
        <w:bottom w:val="none" w:sz="0" w:space="0" w:color="auto"/>
        <w:right w:val="none" w:sz="0" w:space="0" w:color="auto"/>
      </w:divBdr>
    </w:div>
    <w:div w:id="979455964">
      <w:bodyDiv w:val="1"/>
      <w:marLeft w:val="0"/>
      <w:marRight w:val="0"/>
      <w:marTop w:val="0"/>
      <w:marBottom w:val="0"/>
      <w:divBdr>
        <w:top w:val="none" w:sz="0" w:space="0" w:color="auto"/>
        <w:left w:val="none" w:sz="0" w:space="0" w:color="auto"/>
        <w:bottom w:val="none" w:sz="0" w:space="0" w:color="auto"/>
        <w:right w:val="none" w:sz="0" w:space="0" w:color="auto"/>
      </w:divBdr>
      <w:divsChild>
        <w:div w:id="767118937">
          <w:marLeft w:val="0"/>
          <w:marRight w:val="0"/>
          <w:marTop w:val="0"/>
          <w:marBottom w:val="0"/>
          <w:divBdr>
            <w:top w:val="none" w:sz="0" w:space="0" w:color="auto"/>
            <w:left w:val="none" w:sz="0" w:space="0" w:color="auto"/>
            <w:bottom w:val="none" w:sz="0" w:space="0" w:color="auto"/>
            <w:right w:val="none" w:sz="0" w:space="0" w:color="auto"/>
          </w:divBdr>
        </w:div>
      </w:divsChild>
    </w:div>
    <w:div w:id="1058625484">
      <w:bodyDiv w:val="1"/>
      <w:marLeft w:val="0"/>
      <w:marRight w:val="0"/>
      <w:marTop w:val="0"/>
      <w:marBottom w:val="0"/>
      <w:divBdr>
        <w:top w:val="none" w:sz="0" w:space="0" w:color="auto"/>
        <w:left w:val="none" w:sz="0" w:space="0" w:color="auto"/>
        <w:bottom w:val="none" w:sz="0" w:space="0" w:color="auto"/>
        <w:right w:val="none" w:sz="0" w:space="0" w:color="auto"/>
      </w:divBdr>
      <w:divsChild>
        <w:div w:id="1149403016">
          <w:marLeft w:val="0"/>
          <w:marRight w:val="0"/>
          <w:marTop w:val="0"/>
          <w:marBottom w:val="0"/>
          <w:divBdr>
            <w:top w:val="none" w:sz="0" w:space="0" w:color="auto"/>
            <w:left w:val="none" w:sz="0" w:space="0" w:color="auto"/>
            <w:bottom w:val="none" w:sz="0" w:space="0" w:color="auto"/>
            <w:right w:val="none" w:sz="0" w:space="0" w:color="auto"/>
          </w:divBdr>
        </w:div>
      </w:divsChild>
    </w:div>
    <w:div w:id="1232042601">
      <w:bodyDiv w:val="1"/>
      <w:marLeft w:val="0"/>
      <w:marRight w:val="0"/>
      <w:marTop w:val="0"/>
      <w:marBottom w:val="0"/>
      <w:divBdr>
        <w:top w:val="none" w:sz="0" w:space="0" w:color="auto"/>
        <w:left w:val="none" w:sz="0" w:space="0" w:color="auto"/>
        <w:bottom w:val="none" w:sz="0" w:space="0" w:color="auto"/>
        <w:right w:val="none" w:sz="0" w:space="0" w:color="auto"/>
      </w:divBdr>
      <w:divsChild>
        <w:div w:id="290133976">
          <w:marLeft w:val="0"/>
          <w:marRight w:val="0"/>
          <w:marTop w:val="0"/>
          <w:marBottom w:val="0"/>
          <w:divBdr>
            <w:top w:val="none" w:sz="0" w:space="0" w:color="auto"/>
            <w:left w:val="none" w:sz="0" w:space="0" w:color="auto"/>
            <w:bottom w:val="none" w:sz="0" w:space="0" w:color="auto"/>
            <w:right w:val="none" w:sz="0" w:space="0" w:color="auto"/>
          </w:divBdr>
        </w:div>
      </w:divsChild>
    </w:div>
    <w:div w:id="1339230782">
      <w:bodyDiv w:val="1"/>
      <w:marLeft w:val="0"/>
      <w:marRight w:val="0"/>
      <w:marTop w:val="0"/>
      <w:marBottom w:val="0"/>
      <w:divBdr>
        <w:top w:val="none" w:sz="0" w:space="0" w:color="auto"/>
        <w:left w:val="none" w:sz="0" w:space="0" w:color="auto"/>
        <w:bottom w:val="none" w:sz="0" w:space="0" w:color="auto"/>
        <w:right w:val="none" w:sz="0" w:space="0" w:color="auto"/>
      </w:divBdr>
      <w:divsChild>
        <w:div w:id="495151520">
          <w:marLeft w:val="0"/>
          <w:marRight w:val="0"/>
          <w:marTop w:val="0"/>
          <w:marBottom w:val="0"/>
          <w:divBdr>
            <w:top w:val="none" w:sz="0" w:space="0" w:color="auto"/>
            <w:left w:val="none" w:sz="0" w:space="0" w:color="auto"/>
            <w:bottom w:val="none" w:sz="0" w:space="0" w:color="auto"/>
            <w:right w:val="none" w:sz="0" w:space="0" w:color="auto"/>
          </w:divBdr>
        </w:div>
      </w:divsChild>
    </w:div>
    <w:div w:id="1362365108">
      <w:bodyDiv w:val="1"/>
      <w:marLeft w:val="0"/>
      <w:marRight w:val="0"/>
      <w:marTop w:val="0"/>
      <w:marBottom w:val="0"/>
      <w:divBdr>
        <w:top w:val="none" w:sz="0" w:space="0" w:color="auto"/>
        <w:left w:val="none" w:sz="0" w:space="0" w:color="auto"/>
        <w:bottom w:val="none" w:sz="0" w:space="0" w:color="auto"/>
        <w:right w:val="none" w:sz="0" w:space="0" w:color="auto"/>
      </w:divBdr>
    </w:div>
    <w:div w:id="1702508679">
      <w:bodyDiv w:val="1"/>
      <w:marLeft w:val="0"/>
      <w:marRight w:val="0"/>
      <w:marTop w:val="0"/>
      <w:marBottom w:val="0"/>
      <w:divBdr>
        <w:top w:val="none" w:sz="0" w:space="0" w:color="auto"/>
        <w:left w:val="none" w:sz="0" w:space="0" w:color="auto"/>
        <w:bottom w:val="none" w:sz="0" w:space="0" w:color="auto"/>
        <w:right w:val="none" w:sz="0" w:space="0" w:color="auto"/>
      </w:divBdr>
      <w:divsChild>
        <w:div w:id="177374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census.gov/programs-surveys/acs/data.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census.gov/programs-surveys/acs/dat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vidtracking.com/dat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rphd.org/covid-19/weekly-reports.html"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trphd.org/covid-19/"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D111-52D0-C447-9089-8F85DF2E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Mulligan</dc:creator>
  <cp:keywords/>
  <dc:description/>
  <cp:lastModifiedBy>Aravind Menon</cp:lastModifiedBy>
  <cp:revision>35</cp:revision>
  <cp:lastPrinted>2021-01-08T14:19:00Z</cp:lastPrinted>
  <dcterms:created xsi:type="dcterms:W3CDTF">2021-01-08T14:19:00Z</dcterms:created>
  <dcterms:modified xsi:type="dcterms:W3CDTF">2021-01-29T11:31:00Z</dcterms:modified>
</cp:coreProperties>
</file>